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D1E" w:rsidRPr="001405DD" w:rsidRDefault="00B27D1E" w:rsidP="001405DD">
      <w:pPr>
        <w:spacing w:line="360" w:lineRule="auto"/>
        <w:jc w:val="center"/>
        <w:rPr>
          <w:rFonts w:ascii="Arial" w:hAnsi="Arial" w:cs="Arial"/>
          <w:b/>
          <w:sz w:val="28"/>
          <w:szCs w:val="24"/>
        </w:rPr>
      </w:pPr>
      <w:r w:rsidRPr="001405DD">
        <w:rPr>
          <w:rFonts w:ascii="Arial" w:hAnsi="Arial" w:cs="Arial"/>
          <w:b/>
          <w:sz w:val="28"/>
          <w:szCs w:val="24"/>
        </w:rPr>
        <w:t>Artículo científico original</w:t>
      </w:r>
    </w:p>
    <w:p w:rsidR="00B27D1E" w:rsidRPr="001405DD" w:rsidRDefault="00B27D1E" w:rsidP="001405DD">
      <w:pPr>
        <w:spacing w:line="360" w:lineRule="auto"/>
        <w:jc w:val="center"/>
        <w:rPr>
          <w:rFonts w:ascii="Arial" w:hAnsi="Arial" w:cs="Arial"/>
          <w:b/>
          <w:sz w:val="28"/>
          <w:szCs w:val="24"/>
        </w:rPr>
      </w:pPr>
    </w:p>
    <w:p w:rsidR="00B27D1E" w:rsidRPr="001405DD" w:rsidRDefault="00B27D1E" w:rsidP="001405DD">
      <w:pPr>
        <w:spacing w:line="360" w:lineRule="auto"/>
        <w:jc w:val="center"/>
        <w:rPr>
          <w:rFonts w:ascii="Arial" w:hAnsi="Arial" w:cs="Arial"/>
          <w:b/>
          <w:sz w:val="28"/>
          <w:szCs w:val="24"/>
        </w:rPr>
      </w:pPr>
      <w:r w:rsidRPr="001405DD">
        <w:rPr>
          <w:rFonts w:ascii="Arial" w:hAnsi="Arial" w:cs="Arial"/>
          <w:b/>
          <w:sz w:val="28"/>
          <w:szCs w:val="24"/>
        </w:rPr>
        <w:t xml:space="preserve">Factores sociodemográficos asociados al suicidio en la región </w:t>
      </w:r>
      <w:proofErr w:type="spellStart"/>
      <w:r w:rsidRPr="001405DD">
        <w:rPr>
          <w:rFonts w:ascii="Arial" w:hAnsi="Arial" w:cs="Arial"/>
          <w:b/>
          <w:sz w:val="28"/>
          <w:szCs w:val="24"/>
        </w:rPr>
        <w:t>Ixil</w:t>
      </w:r>
      <w:proofErr w:type="spellEnd"/>
      <w:r w:rsidRPr="001405DD">
        <w:rPr>
          <w:rFonts w:ascii="Arial" w:hAnsi="Arial" w:cs="Arial"/>
          <w:b/>
          <w:sz w:val="28"/>
          <w:szCs w:val="24"/>
        </w:rPr>
        <w:t xml:space="preserve"> de Guatemala: estudio retrospectivo de 891 casos, 2013–2024</w:t>
      </w:r>
    </w:p>
    <w:p w:rsidR="00B27D1E" w:rsidRPr="00A96E4A" w:rsidRDefault="00B27D1E" w:rsidP="00A96E4A">
      <w:pPr>
        <w:spacing w:line="360" w:lineRule="auto"/>
        <w:jc w:val="both"/>
        <w:rPr>
          <w:rFonts w:ascii="Arial" w:hAnsi="Arial" w:cs="Arial"/>
          <w:sz w:val="24"/>
          <w:szCs w:val="24"/>
        </w:rPr>
      </w:pPr>
    </w:p>
    <w:p w:rsidR="00B27D1E" w:rsidRPr="00143EB0" w:rsidRDefault="00B27D1E" w:rsidP="00A96E4A">
      <w:pPr>
        <w:spacing w:line="360" w:lineRule="auto"/>
        <w:jc w:val="both"/>
        <w:rPr>
          <w:rFonts w:ascii="Arial" w:hAnsi="Arial" w:cs="Arial"/>
          <w:b/>
          <w:sz w:val="24"/>
          <w:szCs w:val="24"/>
        </w:rPr>
      </w:pPr>
      <w:r w:rsidRPr="00143EB0">
        <w:rPr>
          <w:rFonts w:ascii="Arial" w:hAnsi="Arial" w:cs="Arial"/>
          <w:b/>
          <w:sz w:val="24"/>
          <w:szCs w:val="24"/>
        </w:rPr>
        <w:t>Jacqueline Dorian López Molina¹ (Autora principal)</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Médica y Cirujana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Centro Universitario de Occidente</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Universidad de San Carlos de Guatemala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Correo electrónico: jacquelinelopez201531444@cunoc.edu.gt</w:t>
      </w:r>
    </w:p>
    <w:p w:rsidR="00EB5766" w:rsidRPr="00EB5766" w:rsidRDefault="00EB5766" w:rsidP="00A96E4A">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ORCID: 0009-0003-9030-4373</w:t>
      </w:r>
    </w:p>
    <w:p w:rsidR="00B27D1E" w:rsidRDefault="00B27D1E" w:rsidP="00A96E4A">
      <w:pPr>
        <w:spacing w:line="360" w:lineRule="auto"/>
        <w:jc w:val="both"/>
        <w:rPr>
          <w:rFonts w:ascii="Arial" w:hAnsi="Arial" w:cs="Arial"/>
          <w:sz w:val="24"/>
          <w:szCs w:val="24"/>
        </w:rPr>
      </w:pPr>
      <w:r w:rsidRPr="00A96E4A">
        <w:rPr>
          <w:rFonts w:ascii="Arial" w:hAnsi="Arial" w:cs="Arial"/>
          <w:sz w:val="24"/>
          <w:szCs w:val="24"/>
        </w:rPr>
        <w:t>Claudia Petrona Brito Santiago¹</w:t>
      </w:r>
      <w:r w:rsidR="00143EB0">
        <w:rPr>
          <w:rFonts w:ascii="Arial" w:hAnsi="Arial" w:cs="Arial"/>
          <w:sz w:val="24"/>
          <w:szCs w:val="24"/>
        </w:rPr>
        <w:t xml:space="preserve"> (Coautora)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Médica y Cirujana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Centro Universitario de Occidente</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Universidad de San Carlos de Guatemala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 xml:space="preserve">Correo electrónico: </w:t>
      </w:r>
      <w:r w:rsidR="008F338E">
        <w:rPr>
          <w:rFonts w:ascii="Arial" w:hAnsi="Arial" w:cs="Arial"/>
          <w:sz w:val="24"/>
          <w:szCs w:val="24"/>
        </w:rPr>
        <w:t>claudiabrito201730068@cunoc.edu.gt</w:t>
      </w:r>
    </w:p>
    <w:p w:rsidR="00EB5766" w:rsidRPr="00143EB0" w:rsidRDefault="00EB5766" w:rsidP="00A96E4A">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 xml:space="preserve">ORCID: </w:t>
      </w:r>
      <w:r w:rsidR="008F338E">
        <w:rPr>
          <w:rFonts w:ascii="Arial" w:hAnsi="Arial" w:cs="Arial"/>
          <w:sz w:val="24"/>
          <w:szCs w:val="24"/>
        </w:rPr>
        <w:t>009-0003-1108-7527</w:t>
      </w:r>
    </w:p>
    <w:p w:rsidR="00B27D1E" w:rsidRPr="00A96E4A" w:rsidRDefault="00B27D1E" w:rsidP="00A96E4A">
      <w:pPr>
        <w:spacing w:line="360" w:lineRule="auto"/>
        <w:jc w:val="both"/>
        <w:rPr>
          <w:rFonts w:ascii="Arial" w:hAnsi="Arial" w:cs="Arial"/>
          <w:sz w:val="24"/>
          <w:szCs w:val="24"/>
        </w:rPr>
      </w:pPr>
      <w:r w:rsidRPr="00A96E4A">
        <w:rPr>
          <w:rFonts w:ascii="Arial" w:hAnsi="Arial" w:cs="Arial"/>
          <w:sz w:val="24"/>
          <w:szCs w:val="24"/>
        </w:rPr>
        <w:t xml:space="preserve">Walter Ismael </w:t>
      </w:r>
      <w:proofErr w:type="spellStart"/>
      <w:r w:rsidRPr="00A96E4A">
        <w:rPr>
          <w:rFonts w:ascii="Arial" w:hAnsi="Arial" w:cs="Arial"/>
          <w:sz w:val="24"/>
          <w:szCs w:val="24"/>
        </w:rPr>
        <w:t>Tzul</w:t>
      </w:r>
      <w:proofErr w:type="spellEnd"/>
      <w:r w:rsidRPr="00A96E4A">
        <w:rPr>
          <w:rFonts w:ascii="Arial" w:hAnsi="Arial" w:cs="Arial"/>
          <w:sz w:val="24"/>
          <w:szCs w:val="24"/>
        </w:rPr>
        <w:t xml:space="preserve"> Pacheco¹</w:t>
      </w:r>
      <w:r w:rsidR="00143EB0">
        <w:rPr>
          <w:rFonts w:ascii="Arial" w:hAnsi="Arial" w:cs="Arial"/>
          <w:sz w:val="24"/>
          <w:szCs w:val="24"/>
        </w:rPr>
        <w:t xml:space="preserve"> (Coautor)</w:t>
      </w:r>
    </w:p>
    <w:p w:rsidR="00EB5766" w:rsidRPr="00EB5E5C" w:rsidRDefault="00143EB0" w:rsidP="00EB5766">
      <w:pPr>
        <w:pStyle w:val="Prrafodelista"/>
        <w:numPr>
          <w:ilvl w:val="0"/>
          <w:numId w:val="1"/>
        </w:numPr>
        <w:spacing w:line="360" w:lineRule="auto"/>
        <w:jc w:val="both"/>
        <w:rPr>
          <w:rFonts w:ascii="Arial" w:hAnsi="Arial" w:cs="Arial"/>
          <w:sz w:val="24"/>
          <w:szCs w:val="24"/>
        </w:rPr>
      </w:pPr>
      <w:r>
        <w:rPr>
          <w:rFonts w:ascii="Arial" w:hAnsi="Arial" w:cs="Arial"/>
          <w:sz w:val="24"/>
          <w:szCs w:val="24"/>
        </w:rPr>
        <w:t>Médico y Cirujano</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Centro Universitario de Occidente</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Universidad de San Carlos de Guatemala</w:t>
      </w:r>
    </w:p>
    <w:p w:rsidR="00EB5766" w:rsidRPr="00EB5E5C"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 xml:space="preserve">Correo electrónico: </w:t>
      </w:r>
      <w:r w:rsidR="00143EB0">
        <w:rPr>
          <w:rFonts w:ascii="Arial" w:hAnsi="Arial" w:cs="Arial"/>
          <w:sz w:val="24"/>
          <w:szCs w:val="24"/>
        </w:rPr>
        <w:t>waltertzul200930767@cunoc.edu.gt</w:t>
      </w:r>
    </w:p>
    <w:p w:rsidR="00EB5766" w:rsidRPr="00EB5766" w:rsidRDefault="00EB5766" w:rsidP="00EB5766">
      <w:pPr>
        <w:pStyle w:val="Prrafodelista"/>
        <w:numPr>
          <w:ilvl w:val="0"/>
          <w:numId w:val="1"/>
        </w:numPr>
        <w:spacing w:line="360" w:lineRule="auto"/>
        <w:jc w:val="both"/>
        <w:rPr>
          <w:rFonts w:ascii="Arial" w:hAnsi="Arial" w:cs="Arial"/>
          <w:sz w:val="24"/>
          <w:szCs w:val="24"/>
        </w:rPr>
      </w:pPr>
      <w:r w:rsidRPr="00EB5E5C">
        <w:rPr>
          <w:rFonts w:ascii="Arial" w:hAnsi="Arial" w:cs="Arial"/>
          <w:sz w:val="24"/>
          <w:szCs w:val="24"/>
        </w:rPr>
        <w:t xml:space="preserve">ORCID: </w:t>
      </w:r>
      <w:r w:rsidR="00143EB0">
        <w:rPr>
          <w:rFonts w:ascii="Arial" w:hAnsi="Arial" w:cs="Arial"/>
          <w:sz w:val="24"/>
          <w:szCs w:val="24"/>
        </w:rPr>
        <w:t>0009-0006-6291-3544</w:t>
      </w:r>
      <w:bookmarkStart w:id="0" w:name="_GoBack"/>
      <w:bookmarkEnd w:id="0"/>
    </w:p>
    <w:p w:rsidR="00143EB0" w:rsidRDefault="00143EB0" w:rsidP="00143EB0">
      <w:pPr>
        <w:spacing w:line="360" w:lineRule="auto"/>
        <w:ind w:left="360"/>
        <w:jc w:val="both"/>
        <w:rPr>
          <w:rFonts w:ascii="Arial" w:hAnsi="Arial" w:cs="Arial"/>
          <w:sz w:val="24"/>
          <w:szCs w:val="24"/>
        </w:rPr>
      </w:pPr>
    </w:p>
    <w:p w:rsidR="00143EB0" w:rsidRPr="00143EB0" w:rsidRDefault="00143EB0" w:rsidP="00143EB0">
      <w:pPr>
        <w:spacing w:line="360" w:lineRule="auto"/>
        <w:jc w:val="both"/>
        <w:rPr>
          <w:rFonts w:ascii="Arial" w:hAnsi="Arial" w:cs="Arial"/>
          <w:sz w:val="24"/>
          <w:szCs w:val="24"/>
        </w:rPr>
      </w:pPr>
      <w:r w:rsidRPr="00143EB0">
        <w:rPr>
          <w:rFonts w:ascii="Arial" w:hAnsi="Arial" w:cs="Arial"/>
          <w:sz w:val="24"/>
          <w:szCs w:val="24"/>
        </w:rPr>
        <w:t>¹ Carrera de Médico y Cirujano, División de Ciencias de la Salud, Centro Universitario de Occidente, Universidad de San Carlos de Guatemala. Quetzaltenango, Guatemala.</w:t>
      </w:r>
    </w:p>
    <w:p w:rsidR="00B27D1E"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Tipo de artículo: A</w:t>
      </w:r>
      <w:r w:rsidR="00B27D1E" w:rsidRPr="00A96E4A">
        <w:rPr>
          <w:rFonts w:ascii="Arial" w:hAnsi="Arial" w:cs="Arial"/>
          <w:sz w:val="24"/>
          <w:szCs w:val="24"/>
        </w:rPr>
        <w:t>rtículo original</w:t>
      </w:r>
    </w:p>
    <w:p w:rsidR="00B27D1E"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Número de palabras:</w:t>
      </w:r>
    </w:p>
    <w:p w:rsidR="00B27D1E" w:rsidRPr="00143EB0" w:rsidRDefault="00EB5766" w:rsidP="00143EB0">
      <w:pPr>
        <w:pStyle w:val="Prrafodelista"/>
        <w:numPr>
          <w:ilvl w:val="0"/>
          <w:numId w:val="5"/>
        </w:numPr>
        <w:spacing w:line="360" w:lineRule="auto"/>
        <w:jc w:val="both"/>
        <w:rPr>
          <w:rFonts w:ascii="Arial" w:hAnsi="Arial" w:cs="Arial"/>
          <w:sz w:val="24"/>
          <w:szCs w:val="24"/>
        </w:rPr>
      </w:pPr>
      <w:r w:rsidRPr="00143EB0">
        <w:rPr>
          <w:rFonts w:ascii="Arial" w:hAnsi="Arial" w:cs="Arial"/>
          <w:sz w:val="24"/>
          <w:szCs w:val="24"/>
        </w:rPr>
        <w:t xml:space="preserve">Texto: </w:t>
      </w:r>
      <w:r w:rsidR="008E7ED8">
        <w:rPr>
          <w:rFonts w:ascii="Arial" w:hAnsi="Arial" w:cs="Arial"/>
          <w:sz w:val="24"/>
          <w:szCs w:val="24"/>
        </w:rPr>
        <w:t>4,474</w:t>
      </w:r>
    </w:p>
    <w:p w:rsidR="00B27D1E" w:rsidRPr="00143EB0" w:rsidRDefault="00EB5766" w:rsidP="00143EB0">
      <w:pPr>
        <w:pStyle w:val="Prrafodelista"/>
        <w:numPr>
          <w:ilvl w:val="0"/>
          <w:numId w:val="5"/>
        </w:numPr>
        <w:spacing w:line="360" w:lineRule="auto"/>
        <w:jc w:val="both"/>
        <w:rPr>
          <w:rFonts w:ascii="Arial" w:hAnsi="Arial" w:cs="Arial"/>
          <w:sz w:val="24"/>
          <w:szCs w:val="24"/>
        </w:rPr>
      </w:pPr>
      <w:r w:rsidRPr="00143EB0">
        <w:rPr>
          <w:rFonts w:ascii="Arial" w:hAnsi="Arial" w:cs="Arial"/>
          <w:sz w:val="24"/>
          <w:szCs w:val="24"/>
        </w:rPr>
        <w:t xml:space="preserve">Resumen: </w:t>
      </w:r>
      <w:r w:rsidR="00143EB0">
        <w:rPr>
          <w:rFonts w:ascii="Arial" w:hAnsi="Arial" w:cs="Arial"/>
          <w:sz w:val="24"/>
          <w:szCs w:val="24"/>
        </w:rPr>
        <w:t>275</w:t>
      </w:r>
    </w:p>
    <w:p w:rsidR="00B27D1E" w:rsidRPr="00143EB0" w:rsidRDefault="00A96E4A" w:rsidP="00143EB0">
      <w:pPr>
        <w:pStyle w:val="Prrafodelista"/>
        <w:numPr>
          <w:ilvl w:val="0"/>
          <w:numId w:val="5"/>
        </w:numPr>
        <w:spacing w:line="360" w:lineRule="auto"/>
        <w:jc w:val="both"/>
        <w:rPr>
          <w:rFonts w:ascii="Arial" w:hAnsi="Arial" w:cs="Arial"/>
          <w:sz w:val="24"/>
          <w:szCs w:val="24"/>
        </w:rPr>
      </w:pPr>
      <w:r w:rsidRPr="00143EB0">
        <w:rPr>
          <w:rFonts w:ascii="Arial" w:hAnsi="Arial" w:cs="Arial"/>
          <w:sz w:val="24"/>
          <w:szCs w:val="24"/>
        </w:rPr>
        <w:t>Tablas: 3</w:t>
      </w:r>
    </w:p>
    <w:p w:rsidR="00B27D1E" w:rsidRPr="00143EB0" w:rsidRDefault="00A96E4A" w:rsidP="00143EB0">
      <w:pPr>
        <w:pStyle w:val="Prrafodelista"/>
        <w:numPr>
          <w:ilvl w:val="0"/>
          <w:numId w:val="5"/>
        </w:numPr>
        <w:spacing w:line="360" w:lineRule="auto"/>
        <w:jc w:val="both"/>
        <w:rPr>
          <w:rFonts w:ascii="Arial" w:hAnsi="Arial" w:cs="Arial"/>
          <w:sz w:val="24"/>
          <w:szCs w:val="24"/>
        </w:rPr>
      </w:pPr>
      <w:r w:rsidRPr="00143EB0">
        <w:rPr>
          <w:rFonts w:ascii="Arial" w:hAnsi="Arial" w:cs="Arial"/>
          <w:sz w:val="24"/>
          <w:szCs w:val="24"/>
        </w:rPr>
        <w:t>Figura: 1</w:t>
      </w:r>
    </w:p>
    <w:p w:rsidR="00B27D1E" w:rsidRPr="00143EB0" w:rsidRDefault="00A96E4A" w:rsidP="00143EB0">
      <w:pPr>
        <w:pStyle w:val="Prrafodelista"/>
        <w:numPr>
          <w:ilvl w:val="0"/>
          <w:numId w:val="5"/>
        </w:numPr>
        <w:spacing w:line="360" w:lineRule="auto"/>
        <w:jc w:val="both"/>
        <w:rPr>
          <w:rFonts w:ascii="Arial" w:hAnsi="Arial" w:cs="Arial"/>
          <w:sz w:val="24"/>
          <w:szCs w:val="24"/>
        </w:rPr>
      </w:pPr>
      <w:r w:rsidRPr="00143EB0">
        <w:rPr>
          <w:rFonts w:ascii="Arial" w:hAnsi="Arial" w:cs="Arial"/>
          <w:sz w:val="24"/>
          <w:szCs w:val="24"/>
        </w:rPr>
        <w:t>Referencias: 30</w:t>
      </w:r>
    </w:p>
    <w:p w:rsidR="00B27D1E" w:rsidRPr="00A96E4A" w:rsidRDefault="00B27D1E" w:rsidP="00A96E4A">
      <w:pPr>
        <w:spacing w:line="360" w:lineRule="auto"/>
        <w:jc w:val="both"/>
        <w:rPr>
          <w:rFonts w:ascii="Arial" w:hAnsi="Arial" w:cs="Arial"/>
          <w:sz w:val="24"/>
          <w:szCs w:val="24"/>
        </w:rPr>
      </w:pPr>
      <w:r w:rsidRPr="00A96E4A">
        <w:rPr>
          <w:rFonts w:ascii="Arial" w:hAnsi="Arial" w:cs="Arial"/>
          <w:sz w:val="24"/>
          <w:szCs w:val="24"/>
        </w:rPr>
        <w:t>Palabras clave</w:t>
      </w:r>
      <w:r w:rsidR="00A96E4A" w:rsidRPr="00A96E4A">
        <w:rPr>
          <w:rFonts w:ascii="Arial" w:hAnsi="Arial" w:cs="Arial"/>
          <w:sz w:val="24"/>
          <w:szCs w:val="24"/>
        </w:rPr>
        <w:t>: S</w:t>
      </w:r>
      <w:r w:rsidRPr="00A96E4A">
        <w:rPr>
          <w:rFonts w:ascii="Arial" w:hAnsi="Arial" w:cs="Arial"/>
          <w:sz w:val="24"/>
          <w:szCs w:val="24"/>
        </w:rPr>
        <w:t xml:space="preserve">uicidio; Conducta suicida; Factores sociodemográficos; Salud mental; Región </w:t>
      </w:r>
      <w:proofErr w:type="spellStart"/>
      <w:r w:rsidRPr="00A96E4A">
        <w:rPr>
          <w:rFonts w:ascii="Arial" w:hAnsi="Arial" w:cs="Arial"/>
          <w:sz w:val="24"/>
          <w:szCs w:val="24"/>
        </w:rPr>
        <w:t>Ixil</w:t>
      </w:r>
      <w:proofErr w:type="spellEnd"/>
      <w:r w:rsidRPr="00A96E4A">
        <w:rPr>
          <w:rFonts w:ascii="Arial" w:hAnsi="Arial" w:cs="Arial"/>
          <w:sz w:val="24"/>
          <w:szCs w:val="24"/>
        </w:rPr>
        <w:t>; Guatemala.</w:t>
      </w:r>
    </w:p>
    <w:p w:rsidR="00B27D1E" w:rsidRPr="00A96E4A" w:rsidRDefault="00B27D1E" w:rsidP="00A96E4A">
      <w:pPr>
        <w:spacing w:line="360" w:lineRule="auto"/>
        <w:jc w:val="both"/>
        <w:rPr>
          <w:rFonts w:ascii="Arial" w:hAnsi="Arial" w:cs="Arial"/>
          <w:sz w:val="24"/>
          <w:szCs w:val="24"/>
        </w:rPr>
      </w:pPr>
    </w:p>
    <w:p w:rsidR="00B27D1E" w:rsidRPr="00A96E4A" w:rsidRDefault="00B27D1E" w:rsidP="00A96E4A">
      <w:pPr>
        <w:spacing w:line="360" w:lineRule="auto"/>
        <w:jc w:val="both"/>
        <w:rPr>
          <w:rFonts w:ascii="Arial" w:hAnsi="Arial" w:cs="Arial"/>
          <w:sz w:val="24"/>
          <w:szCs w:val="24"/>
        </w:rPr>
      </w:pPr>
      <w:r w:rsidRPr="00A96E4A">
        <w:rPr>
          <w:rFonts w:ascii="Arial" w:hAnsi="Arial" w:cs="Arial"/>
          <w:sz w:val="24"/>
          <w:szCs w:val="24"/>
        </w:rPr>
        <w:t>Declaraciones</w:t>
      </w:r>
    </w:p>
    <w:p w:rsidR="00B27D1E"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Conflicto de intereses: l</w:t>
      </w:r>
      <w:r w:rsidR="00B27D1E" w:rsidRPr="00A96E4A">
        <w:rPr>
          <w:rFonts w:ascii="Arial" w:hAnsi="Arial" w:cs="Arial"/>
          <w:sz w:val="24"/>
          <w:szCs w:val="24"/>
        </w:rPr>
        <w:t>os autores declaran no tener conflictos de interés.</w:t>
      </w:r>
    </w:p>
    <w:p w:rsidR="00B27D1E" w:rsidRPr="00A96E4A" w:rsidRDefault="00B27D1E" w:rsidP="00A96E4A">
      <w:pPr>
        <w:spacing w:line="360" w:lineRule="auto"/>
        <w:jc w:val="both"/>
        <w:rPr>
          <w:rFonts w:ascii="Arial" w:hAnsi="Arial" w:cs="Arial"/>
          <w:sz w:val="24"/>
          <w:szCs w:val="24"/>
        </w:rPr>
      </w:pPr>
    </w:p>
    <w:p w:rsidR="00B27D1E"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Financiamiento: l</w:t>
      </w:r>
      <w:r w:rsidR="00B27D1E" w:rsidRPr="00A96E4A">
        <w:rPr>
          <w:rFonts w:ascii="Arial" w:hAnsi="Arial" w:cs="Arial"/>
          <w:sz w:val="24"/>
          <w:szCs w:val="24"/>
        </w:rPr>
        <w:t>a presente investigación fue realizada con recursos propios de los autores como parte del trabajo de graduación para optar al título de Médico y Cirujano.</w:t>
      </w:r>
    </w:p>
    <w:p w:rsidR="00B27D1E" w:rsidRPr="00A96E4A" w:rsidRDefault="00B27D1E" w:rsidP="00A96E4A">
      <w:pPr>
        <w:spacing w:line="360" w:lineRule="auto"/>
        <w:jc w:val="both"/>
        <w:rPr>
          <w:rFonts w:ascii="Arial" w:hAnsi="Arial" w:cs="Arial"/>
          <w:sz w:val="24"/>
          <w:szCs w:val="24"/>
        </w:rPr>
      </w:pPr>
    </w:p>
    <w:p w:rsidR="004378CE"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Disponibilidad de datos: l</w:t>
      </w:r>
      <w:r w:rsidR="00B27D1E" w:rsidRPr="00A96E4A">
        <w:rPr>
          <w:rFonts w:ascii="Arial" w:hAnsi="Arial" w:cs="Arial"/>
          <w:sz w:val="24"/>
          <w:szCs w:val="24"/>
        </w:rPr>
        <w:t>os datos utilizados en este estudio provienen de registros institucionales y se encuentran sujetos a las políticas de confidencialidad de las instituciones participantes.</w:t>
      </w:r>
    </w:p>
    <w:p w:rsidR="00A96E4A" w:rsidRPr="001405DD" w:rsidRDefault="00A96E4A" w:rsidP="00A96E4A">
      <w:pPr>
        <w:spacing w:line="360" w:lineRule="auto"/>
        <w:jc w:val="both"/>
        <w:rPr>
          <w:rFonts w:ascii="Arial" w:hAnsi="Arial" w:cs="Arial"/>
          <w:b/>
          <w:sz w:val="24"/>
          <w:szCs w:val="24"/>
        </w:rPr>
      </w:pPr>
    </w:p>
    <w:p w:rsidR="00143EB0" w:rsidRDefault="00143EB0" w:rsidP="00A96E4A">
      <w:pPr>
        <w:spacing w:line="360" w:lineRule="auto"/>
        <w:jc w:val="both"/>
        <w:rPr>
          <w:rFonts w:ascii="Arial" w:hAnsi="Arial" w:cs="Arial"/>
          <w:b/>
          <w:sz w:val="24"/>
          <w:szCs w:val="24"/>
        </w:rPr>
      </w:pPr>
    </w:p>
    <w:p w:rsidR="00A96E4A" w:rsidRPr="001405DD" w:rsidRDefault="001405DD" w:rsidP="00A96E4A">
      <w:pPr>
        <w:spacing w:line="360" w:lineRule="auto"/>
        <w:jc w:val="both"/>
        <w:rPr>
          <w:rFonts w:ascii="Arial" w:hAnsi="Arial" w:cs="Arial"/>
          <w:b/>
          <w:sz w:val="24"/>
          <w:szCs w:val="24"/>
        </w:rPr>
      </w:pPr>
      <w:r>
        <w:rPr>
          <w:rFonts w:ascii="Arial" w:hAnsi="Arial" w:cs="Arial"/>
          <w:b/>
          <w:sz w:val="24"/>
          <w:szCs w:val="24"/>
        </w:rPr>
        <w:t>Título</w:t>
      </w:r>
    </w:p>
    <w:p w:rsidR="00A96E4A" w:rsidRPr="001405DD" w:rsidRDefault="00A96E4A" w:rsidP="00A96E4A">
      <w:pPr>
        <w:spacing w:line="360" w:lineRule="auto"/>
        <w:jc w:val="both"/>
        <w:rPr>
          <w:rFonts w:ascii="Arial" w:hAnsi="Arial" w:cs="Arial"/>
          <w:b/>
          <w:sz w:val="24"/>
          <w:szCs w:val="24"/>
        </w:rPr>
      </w:pPr>
      <w:r w:rsidRPr="001405DD">
        <w:rPr>
          <w:rFonts w:ascii="Arial" w:hAnsi="Arial" w:cs="Arial"/>
          <w:b/>
          <w:sz w:val="24"/>
          <w:szCs w:val="24"/>
        </w:rPr>
        <w:t xml:space="preserve">Factores sociodemográficos asociados al suicidio en la región </w:t>
      </w:r>
      <w:proofErr w:type="spellStart"/>
      <w:r w:rsidRPr="001405DD">
        <w:rPr>
          <w:rFonts w:ascii="Arial" w:hAnsi="Arial" w:cs="Arial"/>
          <w:b/>
          <w:sz w:val="24"/>
          <w:szCs w:val="24"/>
        </w:rPr>
        <w:t>Ixil</w:t>
      </w:r>
      <w:proofErr w:type="spellEnd"/>
      <w:r w:rsidRPr="001405DD">
        <w:rPr>
          <w:rFonts w:ascii="Arial" w:hAnsi="Arial" w:cs="Arial"/>
          <w:b/>
          <w:sz w:val="24"/>
          <w:szCs w:val="24"/>
        </w:rPr>
        <w:t xml:space="preserve"> de Guatemala: estudio retrospectivo de 891 casos (2013–2024)</w:t>
      </w:r>
    </w:p>
    <w:p w:rsidR="00143EB0" w:rsidRDefault="00143EB0" w:rsidP="00A96E4A">
      <w:pPr>
        <w:spacing w:line="360" w:lineRule="auto"/>
        <w:jc w:val="both"/>
        <w:rPr>
          <w:rFonts w:ascii="Arial" w:hAnsi="Arial" w:cs="Arial"/>
          <w:b/>
          <w:sz w:val="24"/>
          <w:szCs w:val="24"/>
        </w:rPr>
      </w:pPr>
    </w:p>
    <w:p w:rsidR="001405DD" w:rsidRPr="001405DD" w:rsidRDefault="001405DD" w:rsidP="00A96E4A">
      <w:pPr>
        <w:spacing w:line="360" w:lineRule="auto"/>
        <w:jc w:val="both"/>
        <w:rPr>
          <w:rFonts w:ascii="Arial" w:hAnsi="Arial" w:cs="Arial"/>
          <w:b/>
          <w:sz w:val="24"/>
          <w:szCs w:val="24"/>
        </w:rPr>
      </w:pPr>
      <w:r w:rsidRPr="001405DD">
        <w:rPr>
          <w:rFonts w:ascii="Arial" w:hAnsi="Arial" w:cs="Arial"/>
          <w:b/>
          <w:sz w:val="24"/>
          <w:szCs w:val="24"/>
        </w:rPr>
        <w:lastRenderedPageBreak/>
        <w:t xml:space="preserve">Resumen </w:t>
      </w:r>
    </w:p>
    <w:p w:rsidR="00A96E4A" w:rsidRPr="00A96E4A" w:rsidRDefault="00A96E4A" w:rsidP="00A96E4A">
      <w:pPr>
        <w:spacing w:line="360" w:lineRule="auto"/>
        <w:jc w:val="both"/>
        <w:rPr>
          <w:rFonts w:ascii="Arial" w:hAnsi="Arial" w:cs="Arial"/>
          <w:sz w:val="24"/>
          <w:szCs w:val="24"/>
        </w:rPr>
      </w:pPr>
      <w:r w:rsidRPr="00EB5E5C">
        <w:rPr>
          <w:rFonts w:ascii="Arial" w:hAnsi="Arial" w:cs="Arial"/>
          <w:b/>
          <w:sz w:val="24"/>
          <w:szCs w:val="24"/>
        </w:rPr>
        <w:t>Introducción:</w:t>
      </w:r>
      <w:r w:rsidRPr="00A96E4A">
        <w:rPr>
          <w:rFonts w:ascii="Arial" w:hAnsi="Arial" w:cs="Arial"/>
          <w:sz w:val="24"/>
          <w:szCs w:val="24"/>
        </w:rPr>
        <w:t xml:space="preserve"> El suicidio constituye un importante problema de salud pública y una de las principales causas de muerte prevenible en el mundo. Su comportamiento responde a una interacción compleja de factores biológicos, psicológicos, sociales y culturales. En Guatemala, particularmente en la región </w:t>
      </w:r>
      <w:proofErr w:type="spellStart"/>
      <w:r w:rsidRPr="00A96E4A">
        <w:rPr>
          <w:rFonts w:ascii="Arial" w:hAnsi="Arial" w:cs="Arial"/>
          <w:sz w:val="24"/>
          <w:szCs w:val="24"/>
        </w:rPr>
        <w:t>Ixil</w:t>
      </w:r>
      <w:proofErr w:type="spellEnd"/>
      <w:r w:rsidRPr="00A96E4A">
        <w:rPr>
          <w:rFonts w:ascii="Arial" w:hAnsi="Arial" w:cs="Arial"/>
          <w:sz w:val="24"/>
          <w:szCs w:val="24"/>
        </w:rPr>
        <w:t>, existen limitadas investigaciones que analicen los factores asociados a la conducta suicida desde un enfoque epidemiológico y sociocultural (Organización Mundial de la Salud [OMS], 2021; Organización Panamer</w:t>
      </w:r>
      <w:r w:rsidR="001405DD">
        <w:rPr>
          <w:rFonts w:ascii="Arial" w:hAnsi="Arial" w:cs="Arial"/>
          <w:sz w:val="24"/>
          <w:szCs w:val="24"/>
        </w:rPr>
        <w:t>icana de la Salud [OPS], 2025).</w:t>
      </w:r>
    </w:p>
    <w:p w:rsidR="00A96E4A" w:rsidRPr="00A96E4A" w:rsidRDefault="00A96E4A" w:rsidP="00A96E4A">
      <w:pPr>
        <w:spacing w:line="360" w:lineRule="auto"/>
        <w:jc w:val="both"/>
        <w:rPr>
          <w:rFonts w:ascii="Arial" w:hAnsi="Arial" w:cs="Arial"/>
          <w:sz w:val="24"/>
          <w:szCs w:val="24"/>
        </w:rPr>
      </w:pPr>
      <w:r w:rsidRPr="00EB5E5C">
        <w:rPr>
          <w:rFonts w:ascii="Arial" w:hAnsi="Arial" w:cs="Arial"/>
          <w:b/>
          <w:sz w:val="24"/>
          <w:szCs w:val="24"/>
        </w:rPr>
        <w:t>Objetivo:</w:t>
      </w:r>
      <w:r w:rsidRPr="00A96E4A">
        <w:rPr>
          <w:rFonts w:ascii="Arial" w:hAnsi="Arial" w:cs="Arial"/>
          <w:sz w:val="24"/>
          <w:szCs w:val="24"/>
        </w:rPr>
        <w:t xml:space="preserve"> Determinar la asociación entre los factores sociodemográficos y la conducta suicida en la población de la región </w:t>
      </w:r>
      <w:proofErr w:type="spellStart"/>
      <w:r w:rsidRPr="00A96E4A">
        <w:rPr>
          <w:rFonts w:ascii="Arial" w:hAnsi="Arial" w:cs="Arial"/>
          <w:sz w:val="24"/>
          <w:szCs w:val="24"/>
        </w:rPr>
        <w:t>Ixi</w:t>
      </w:r>
      <w:r w:rsidR="001405DD">
        <w:rPr>
          <w:rFonts w:ascii="Arial" w:hAnsi="Arial" w:cs="Arial"/>
          <w:sz w:val="24"/>
          <w:szCs w:val="24"/>
        </w:rPr>
        <w:t>l</w:t>
      </w:r>
      <w:proofErr w:type="spellEnd"/>
      <w:r w:rsidR="001405DD">
        <w:rPr>
          <w:rFonts w:ascii="Arial" w:hAnsi="Arial" w:cs="Arial"/>
          <w:sz w:val="24"/>
          <w:szCs w:val="24"/>
        </w:rPr>
        <w:t xml:space="preserve"> durante el periodo 2013–2024.</w:t>
      </w:r>
    </w:p>
    <w:p w:rsidR="00A96E4A" w:rsidRPr="00A96E4A" w:rsidRDefault="00A96E4A" w:rsidP="00A96E4A">
      <w:pPr>
        <w:spacing w:line="360" w:lineRule="auto"/>
        <w:jc w:val="both"/>
        <w:rPr>
          <w:rFonts w:ascii="Arial" w:hAnsi="Arial" w:cs="Arial"/>
          <w:sz w:val="24"/>
          <w:szCs w:val="24"/>
        </w:rPr>
      </w:pPr>
      <w:r w:rsidRPr="00EB5E5C">
        <w:rPr>
          <w:rFonts w:ascii="Arial" w:hAnsi="Arial" w:cs="Arial"/>
          <w:b/>
          <w:sz w:val="24"/>
          <w:szCs w:val="24"/>
        </w:rPr>
        <w:t>Materiales y métodos:</w:t>
      </w:r>
      <w:r w:rsidRPr="00A96E4A">
        <w:rPr>
          <w:rFonts w:ascii="Arial" w:hAnsi="Arial" w:cs="Arial"/>
          <w:sz w:val="24"/>
          <w:szCs w:val="24"/>
        </w:rPr>
        <w:t xml:space="preserve"> Se realizó un estudio observacional, retrospectivo, analítico y transversal que incluyó 891 registros de intentos de suicidio y suicidios consumados obtenidos de la Dirección de Redes Integradas e Integrales de Servicios de Salud del Área </w:t>
      </w:r>
      <w:proofErr w:type="spellStart"/>
      <w:r w:rsidRPr="00A96E4A">
        <w:rPr>
          <w:rFonts w:ascii="Arial" w:hAnsi="Arial" w:cs="Arial"/>
          <w:sz w:val="24"/>
          <w:szCs w:val="24"/>
        </w:rPr>
        <w:t>Ixil</w:t>
      </w:r>
      <w:proofErr w:type="spellEnd"/>
      <w:r w:rsidRPr="00A96E4A">
        <w:rPr>
          <w:rFonts w:ascii="Arial" w:hAnsi="Arial" w:cs="Arial"/>
          <w:sz w:val="24"/>
          <w:szCs w:val="24"/>
        </w:rPr>
        <w:t xml:space="preserve">, el Hospital Nacional de </w:t>
      </w:r>
      <w:proofErr w:type="spellStart"/>
      <w:r w:rsidRPr="00A96E4A">
        <w:rPr>
          <w:rFonts w:ascii="Arial" w:hAnsi="Arial" w:cs="Arial"/>
          <w:sz w:val="24"/>
          <w:szCs w:val="24"/>
        </w:rPr>
        <w:t>Nebaj</w:t>
      </w:r>
      <w:proofErr w:type="spellEnd"/>
      <w:r w:rsidRPr="00A96E4A">
        <w:rPr>
          <w:rFonts w:ascii="Arial" w:hAnsi="Arial" w:cs="Arial"/>
          <w:sz w:val="24"/>
          <w:szCs w:val="24"/>
        </w:rPr>
        <w:t xml:space="preserve"> y el Registro Nacional de las Personas. Se analizaron variables sociodemográficas mediante la prueba de </w:t>
      </w:r>
      <w:proofErr w:type="spellStart"/>
      <w:r w:rsidRPr="00A96E4A">
        <w:rPr>
          <w:rFonts w:ascii="Arial" w:hAnsi="Arial" w:cs="Arial"/>
          <w:sz w:val="24"/>
          <w:szCs w:val="24"/>
        </w:rPr>
        <w:t>chi</w:t>
      </w:r>
      <w:proofErr w:type="spellEnd"/>
      <w:r w:rsidRPr="00A96E4A">
        <w:rPr>
          <w:rFonts w:ascii="Arial" w:hAnsi="Arial" w:cs="Arial"/>
          <w:sz w:val="24"/>
          <w:szCs w:val="24"/>
        </w:rPr>
        <w:t xml:space="preserve"> cuadrado y el coeficiente V de </w:t>
      </w:r>
      <w:proofErr w:type="spellStart"/>
      <w:r w:rsidRPr="00A96E4A">
        <w:rPr>
          <w:rFonts w:ascii="Arial" w:hAnsi="Arial" w:cs="Arial"/>
          <w:sz w:val="24"/>
          <w:szCs w:val="24"/>
        </w:rPr>
        <w:t>Cramér</w:t>
      </w:r>
      <w:proofErr w:type="spellEnd"/>
      <w:r w:rsidRPr="00A96E4A">
        <w:rPr>
          <w:rFonts w:ascii="Arial" w:hAnsi="Arial" w:cs="Arial"/>
          <w:sz w:val="24"/>
          <w:szCs w:val="24"/>
        </w:rPr>
        <w:t xml:space="preserve"> para e</w:t>
      </w:r>
      <w:r w:rsidR="001405DD">
        <w:rPr>
          <w:rFonts w:ascii="Arial" w:hAnsi="Arial" w:cs="Arial"/>
          <w:sz w:val="24"/>
          <w:szCs w:val="24"/>
        </w:rPr>
        <w:t>valuar la fuerza de asociación.</w:t>
      </w:r>
    </w:p>
    <w:p w:rsidR="00A96E4A" w:rsidRPr="00A96E4A" w:rsidRDefault="00A96E4A" w:rsidP="00A96E4A">
      <w:pPr>
        <w:spacing w:line="360" w:lineRule="auto"/>
        <w:jc w:val="both"/>
        <w:rPr>
          <w:rFonts w:ascii="Arial" w:hAnsi="Arial" w:cs="Arial"/>
          <w:sz w:val="24"/>
          <w:szCs w:val="24"/>
        </w:rPr>
      </w:pPr>
      <w:r w:rsidRPr="00EB5E5C">
        <w:rPr>
          <w:rFonts w:ascii="Arial" w:hAnsi="Arial" w:cs="Arial"/>
          <w:b/>
          <w:sz w:val="24"/>
          <w:szCs w:val="24"/>
        </w:rPr>
        <w:t>Resultados:</w:t>
      </w:r>
      <w:r w:rsidRPr="00A96E4A">
        <w:rPr>
          <w:rFonts w:ascii="Arial" w:hAnsi="Arial" w:cs="Arial"/>
          <w:sz w:val="24"/>
          <w:szCs w:val="24"/>
        </w:rPr>
        <w:t xml:space="preserve"> Se identificó una asociación estadísticamente significativa entre la conducta suicida y el sexo (χ² = 31.0; p &lt; 0.001), la edad (χ² = 16.7; p = 0.033), el municipio de residencia (χ² = 9.0; p = 0.011), el nivel educativo (χ² = 15.1; p = 0.0098), la ocupación (χ² = 97.4; p &lt; 0.001), el grupo étnico (χ² = 56.2; p &lt; 0.001) y el estado civil (χ² = 28.3; p &lt; 0.001). El área de residencia no mostró una asociación estadísticam</w:t>
      </w:r>
      <w:r w:rsidR="001405DD">
        <w:rPr>
          <w:rFonts w:ascii="Arial" w:hAnsi="Arial" w:cs="Arial"/>
          <w:sz w:val="24"/>
          <w:szCs w:val="24"/>
        </w:rPr>
        <w:t>ente significativa (p = 0,077).</w:t>
      </w:r>
    </w:p>
    <w:p w:rsidR="00A96E4A" w:rsidRPr="00A96E4A" w:rsidRDefault="00A96E4A" w:rsidP="00A96E4A">
      <w:pPr>
        <w:spacing w:line="360" w:lineRule="auto"/>
        <w:jc w:val="both"/>
        <w:rPr>
          <w:rFonts w:ascii="Arial" w:hAnsi="Arial" w:cs="Arial"/>
          <w:sz w:val="24"/>
          <w:szCs w:val="24"/>
        </w:rPr>
      </w:pPr>
      <w:r w:rsidRPr="00EB5E5C">
        <w:rPr>
          <w:rFonts w:ascii="Arial" w:hAnsi="Arial" w:cs="Arial"/>
          <w:b/>
          <w:sz w:val="24"/>
          <w:szCs w:val="24"/>
        </w:rPr>
        <w:t>Conclusiones:</w:t>
      </w:r>
      <w:r w:rsidR="00EB5766">
        <w:rPr>
          <w:rFonts w:ascii="Arial" w:hAnsi="Arial" w:cs="Arial"/>
          <w:sz w:val="24"/>
          <w:szCs w:val="24"/>
        </w:rPr>
        <w:t xml:space="preserve"> L</w:t>
      </w:r>
      <w:r w:rsidR="00EB5766" w:rsidRPr="00EB5766">
        <w:rPr>
          <w:rFonts w:ascii="Arial" w:hAnsi="Arial" w:cs="Arial"/>
          <w:sz w:val="24"/>
          <w:szCs w:val="24"/>
        </w:rPr>
        <w:t>os factores sociodemográficos analizados se</w:t>
      </w:r>
      <w:r w:rsidR="00EB5766">
        <w:rPr>
          <w:rFonts w:ascii="Arial" w:hAnsi="Arial" w:cs="Arial"/>
          <w:sz w:val="24"/>
          <w:szCs w:val="24"/>
        </w:rPr>
        <w:t xml:space="preserve"> asociaron en la ocurrencia de </w:t>
      </w:r>
      <w:r w:rsidR="00EB5766" w:rsidRPr="00EB5766">
        <w:rPr>
          <w:rFonts w:ascii="Arial" w:hAnsi="Arial" w:cs="Arial"/>
          <w:sz w:val="24"/>
          <w:szCs w:val="24"/>
        </w:rPr>
        <w:t>suicidio</w:t>
      </w:r>
      <w:r w:rsidR="00EB5766">
        <w:rPr>
          <w:rFonts w:ascii="Arial" w:hAnsi="Arial" w:cs="Arial"/>
          <w:sz w:val="24"/>
          <w:szCs w:val="24"/>
        </w:rPr>
        <w:t>s</w:t>
      </w:r>
      <w:r w:rsidR="00143EB0">
        <w:rPr>
          <w:rFonts w:ascii="Arial" w:hAnsi="Arial" w:cs="Arial"/>
          <w:sz w:val="24"/>
          <w:szCs w:val="24"/>
        </w:rPr>
        <w:t xml:space="preserve"> en la región </w:t>
      </w:r>
      <w:proofErr w:type="spellStart"/>
      <w:r w:rsidR="00143EB0">
        <w:rPr>
          <w:rFonts w:ascii="Arial" w:hAnsi="Arial" w:cs="Arial"/>
          <w:sz w:val="24"/>
          <w:szCs w:val="24"/>
        </w:rPr>
        <w:t>Ixil</w:t>
      </w:r>
      <w:proofErr w:type="spellEnd"/>
      <w:r w:rsidR="00143EB0">
        <w:rPr>
          <w:rFonts w:ascii="Arial" w:hAnsi="Arial" w:cs="Arial"/>
          <w:sz w:val="24"/>
          <w:szCs w:val="24"/>
        </w:rPr>
        <w:t>.</w:t>
      </w:r>
    </w:p>
    <w:p w:rsidR="00A96E4A" w:rsidRPr="00A96E4A" w:rsidRDefault="001405DD" w:rsidP="00A96E4A">
      <w:pPr>
        <w:spacing w:line="360" w:lineRule="auto"/>
        <w:jc w:val="both"/>
        <w:rPr>
          <w:rFonts w:ascii="Arial" w:hAnsi="Arial" w:cs="Arial"/>
          <w:sz w:val="24"/>
          <w:szCs w:val="24"/>
        </w:rPr>
      </w:pPr>
      <w:r>
        <w:rPr>
          <w:rFonts w:ascii="Arial" w:hAnsi="Arial" w:cs="Arial"/>
          <w:sz w:val="24"/>
          <w:szCs w:val="24"/>
        </w:rPr>
        <w:t xml:space="preserve">Palabras clave: Suicidio, Conducta suicida, Factores sociodemográficos, </w:t>
      </w:r>
      <w:r w:rsidR="00A96E4A" w:rsidRPr="00A96E4A">
        <w:rPr>
          <w:rFonts w:ascii="Arial" w:hAnsi="Arial" w:cs="Arial"/>
          <w:sz w:val="24"/>
          <w:szCs w:val="24"/>
        </w:rPr>
        <w:t>Salud ment</w:t>
      </w:r>
      <w:r>
        <w:rPr>
          <w:rFonts w:ascii="Arial" w:hAnsi="Arial" w:cs="Arial"/>
          <w:sz w:val="24"/>
          <w:szCs w:val="24"/>
        </w:rPr>
        <w:t xml:space="preserve">al, Población indígena, </w:t>
      </w:r>
      <w:r w:rsidR="00A96E4A" w:rsidRPr="00A96E4A">
        <w:rPr>
          <w:rFonts w:ascii="Arial" w:hAnsi="Arial" w:cs="Arial"/>
          <w:sz w:val="24"/>
          <w:szCs w:val="24"/>
        </w:rPr>
        <w:t>Guatemala.</w:t>
      </w:r>
    </w:p>
    <w:p w:rsidR="00A96E4A" w:rsidRPr="00A96E4A" w:rsidRDefault="00A96E4A" w:rsidP="00A96E4A">
      <w:pPr>
        <w:spacing w:line="360" w:lineRule="auto"/>
        <w:jc w:val="both"/>
        <w:rPr>
          <w:rFonts w:ascii="Arial" w:hAnsi="Arial" w:cs="Arial"/>
          <w:sz w:val="24"/>
          <w:szCs w:val="24"/>
        </w:rPr>
      </w:pPr>
    </w:p>
    <w:p w:rsidR="00EB5766" w:rsidRDefault="00EB5766" w:rsidP="00A96E4A">
      <w:pPr>
        <w:spacing w:line="360" w:lineRule="auto"/>
        <w:jc w:val="both"/>
        <w:rPr>
          <w:rFonts w:ascii="Arial" w:hAnsi="Arial" w:cs="Arial"/>
          <w:b/>
          <w:sz w:val="24"/>
          <w:szCs w:val="24"/>
        </w:rPr>
      </w:pPr>
    </w:p>
    <w:p w:rsidR="00A96E4A" w:rsidRPr="001405DD" w:rsidRDefault="001405DD" w:rsidP="00A96E4A">
      <w:pPr>
        <w:spacing w:line="360" w:lineRule="auto"/>
        <w:jc w:val="both"/>
        <w:rPr>
          <w:rFonts w:ascii="Arial" w:hAnsi="Arial" w:cs="Arial"/>
          <w:b/>
          <w:sz w:val="24"/>
          <w:szCs w:val="24"/>
        </w:rPr>
      </w:pPr>
      <w:r>
        <w:rPr>
          <w:rFonts w:ascii="Arial" w:hAnsi="Arial" w:cs="Arial"/>
          <w:b/>
          <w:sz w:val="24"/>
          <w:szCs w:val="24"/>
        </w:rPr>
        <w:lastRenderedPageBreak/>
        <w:t>INTRODUCCIÓN</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El suicidio constituye uno de los principales problemas de salud pública a nivel mundial y representa una de las principales causas de muerte prevenible. La Organización Mundial de la Salud (OMS)</w:t>
      </w:r>
      <w:r w:rsidR="00EB5E5C">
        <w:rPr>
          <w:rFonts w:ascii="Arial" w:hAnsi="Arial" w:cs="Arial"/>
          <w:sz w:val="24"/>
          <w:szCs w:val="24"/>
        </w:rPr>
        <w:t xml:space="preserve"> estima que cada año más de 700,</w:t>
      </w:r>
      <w:r w:rsidRPr="00A96E4A">
        <w:rPr>
          <w:rFonts w:ascii="Arial" w:hAnsi="Arial" w:cs="Arial"/>
          <w:sz w:val="24"/>
          <w:szCs w:val="24"/>
        </w:rPr>
        <w:t xml:space="preserve">000 personas fallecen por suicidio, lo que equivale a una muerte cada 40 segundos aproximadamente. Además de la pérdida de vidas humanas, este fenómeno genera un profundo impacto social, familiar y económico, por lo que su prevención constituye una prioridad para los sistemas de salud (Organización Mundial </w:t>
      </w:r>
      <w:r w:rsidR="001405DD">
        <w:rPr>
          <w:rFonts w:ascii="Arial" w:hAnsi="Arial" w:cs="Arial"/>
          <w:sz w:val="24"/>
          <w:szCs w:val="24"/>
        </w:rPr>
        <w:t>de la Salud [OMS], 2021, 2025).</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 conducta suicida comprende un espectro que incluye la ideación suicida, la planificación, los intentos de suicidio y el suicidio consumado. Su aparición es el resultado de una interacción compleja entre factores biológicos, psicológicos, sociales, económicos, culturales y ambientales, por lo que ningún factor aislado explica por sí solo este fenómeno. La evidencia científica demuestra que variables como la edad, el sexo, el nivel educativo, la ocupación, el estado civil y las condiciones socioeconómicas influyen significativamente en el riesgo de presentar conducta suicida (Hug</w:t>
      </w:r>
      <w:r w:rsidR="001405DD">
        <w:rPr>
          <w:rFonts w:ascii="Arial" w:hAnsi="Arial" w:cs="Arial"/>
          <w:sz w:val="24"/>
          <w:szCs w:val="24"/>
        </w:rPr>
        <w:t xml:space="preserve">hes et al., 2023; </w:t>
      </w:r>
      <w:proofErr w:type="spellStart"/>
      <w:r w:rsidR="001405DD">
        <w:rPr>
          <w:rFonts w:ascii="Arial" w:hAnsi="Arial" w:cs="Arial"/>
          <w:sz w:val="24"/>
          <w:szCs w:val="24"/>
        </w:rPr>
        <w:t>Stack</w:t>
      </w:r>
      <w:proofErr w:type="spellEnd"/>
      <w:r w:rsidR="001405DD">
        <w:rPr>
          <w:rFonts w:ascii="Arial" w:hAnsi="Arial" w:cs="Arial"/>
          <w:sz w:val="24"/>
          <w:szCs w:val="24"/>
        </w:rPr>
        <w:t>, 2021).</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En América Latina, el suicidio continúa siendo un desafío creciente para los sistemas de salud. Aunque las tasas son inferiores a las observadas en otras regiones del mundo, persisten importantes desigualdades relacionadas con el acceso a los servicios de salud mental, la estigmatización de los trastornos mentales y las limitaciones en la detección temprana de las personas en riesgo. La Organización Panamericana de la Salud ha señalado que fortalecer la atención primaria y desarrollar estrategias comunitarias constituye una de las intervenciones más efectivas para disminuir la mortalidad por suicidio (Organización Panamer</w:t>
      </w:r>
      <w:r w:rsidR="001405DD">
        <w:rPr>
          <w:rFonts w:ascii="Arial" w:hAnsi="Arial" w:cs="Arial"/>
          <w:sz w:val="24"/>
          <w:szCs w:val="24"/>
        </w:rPr>
        <w:t>icana de la Salud [OPS], 2025).</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En Guatemala, la conducta suicida representa un problema de creciente importancia. Diversos estudios nacionales han descrito un incremento en el número de casos durante las últimas décadas, particularmente entre adolescentes y adultos jóvenes. Sin embargo, la disponibilidad de investigaciones epidemiológicas continúa siendo limitada, especialmente en poblaciones indígenas y áreas rurales, donde confluyen determinantes </w:t>
      </w:r>
      <w:r w:rsidRPr="00A96E4A">
        <w:rPr>
          <w:rFonts w:ascii="Arial" w:hAnsi="Arial" w:cs="Arial"/>
          <w:sz w:val="24"/>
          <w:szCs w:val="24"/>
        </w:rPr>
        <w:lastRenderedPageBreak/>
        <w:t>sociales, económicos y culturales que pueden modificar el riesgo de suicidio (Robles, 2021; Alonzo et al., 2022).</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región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ubicada en el departamento de Quiché, posee características históricas, culturales y sociales que la convierten en un escenario de especial interés para el estudio de la conducta suicida. La población está conformada mayoritariamente por comunidades indígenas mayas </w:t>
      </w:r>
      <w:proofErr w:type="spellStart"/>
      <w:r w:rsidRPr="00A96E4A">
        <w:rPr>
          <w:rFonts w:ascii="Arial" w:hAnsi="Arial" w:cs="Arial"/>
          <w:sz w:val="24"/>
          <w:szCs w:val="24"/>
        </w:rPr>
        <w:t>Ixiles</w:t>
      </w:r>
      <w:proofErr w:type="spellEnd"/>
      <w:r w:rsidRPr="00A96E4A">
        <w:rPr>
          <w:rFonts w:ascii="Arial" w:hAnsi="Arial" w:cs="Arial"/>
          <w:sz w:val="24"/>
          <w:szCs w:val="24"/>
        </w:rPr>
        <w:t>, las cuales enfrentan barreras lingüísticas, desigualdades socioeconómicas y limitaciones en el acceso oportuno a los servicios de salud. A ello se suma el impacto histórico del conflicto armado interno, que dejó profundas secuelas sociales, psicológicas y comunitarias cuya influencia sobre la salud mental continúa siendo motivo de investigación (Méndez, 2018; González, 2024).</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A pesar de la relevancia del problema, existe escasa evidencia científica que describa los factores asociados al suicidio en esta población. La mayoría de los estudios realizados en Guatemala se han desarrollado en áreas urbanas o en poblaciones hospitalarias, por lo que aún persiste un vacío de conocimiento respecto a los determinantes sociodemográficos de la conducta suicida en la región </w:t>
      </w:r>
      <w:proofErr w:type="spellStart"/>
      <w:r w:rsidRPr="00A96E4A">
        <w:rPr>
          <w:rFonts w:ascii="Arial" w:hAnsi="Arial" w:cs="Arial"/>
          <w:sz w:val="24"/>
          <w:szCs w:val="24"/>
        </w:rPr>
        <w:t>Ixil</w:t>
      </w:r>
      <w:proofErr w:type="spellEnd"/>
      <w:r w:rsidRPr="00A96E4A">
        <w:rPr>
          <w:rFonts w:ascii="Arial" w:hAnsi="Arial" w:cs="Arial"/>
          <w:sz w:val="24"/>
          <w:szCs w:val="24"/>
        </w:rPr>
        <w:t>. Generar información local resulta fundamental para orientar estrategias de prevención culturalmente pertinentes, fortalecer la capacidad de respuesta de los servicios de salud mental y apoyar la toma de decisiones en salud pública (</w:t>
      </w:r>
      <w:proofErr w:type="spellStart"/>
      <w:r w:rsidRPr="00A96E4A">
        <w:rPr>
          <w:rFonts w:ascii="Arial" w:hAnsi="Arial" w:cs="Arial"/>
          <w:sz w:val="24"/>
          <w:szCs w:val="24"/>
        </w:rPr>
        <w:t>Chajón</w:t>
      </w:r>
      <w:proofErr w:type="spellEnd"/>
      <w:r w:rsidRPr="00A96E4A">
        <w:rPr>
          <w:rFonts w:ascii="Arial" w:hAnsi="Arial" w:cs="Arial"/>
          <w:sz w:val="24"/>
          <w:szCs w:val="24"/>
        </w:rPr>
        <w:t xml:space="preserve">, 2025; </w:t>
      </w:r>
      <w:proofErr w:type="spellStart"/>
      <w:r w:rsidRPr="00A96E4A">
        <w:rPr>
          <w:rFonts w:ascii="Arial" w:hAnsi="Arial" w:cs="Arial"/>
          <w:sz w:val="24"/>
          <w:szCs w:val="24"/>
        </w:rPr>
        <w:t>Oxlaj</w:t>
      </w:r>
      <w:proofErr w:type="spellEnd"/>
      <w:r w:rsidRPr="00A96E4A">
        <w:rPr>
          <w:rFonts w:ascii="Arial" w:hAnsi="Arial" w:cs="Arial"/>
          <w:sz w:val="24"/>
          <w:szCs w:val="24"/>
        </w:rPr>
        <w:t xml:space="preserve"> Larios, 2023).</w:t>
      </w:r>
    </w:p>
    <w:p w:rsid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En este contexto, el presente estudio tuvo como objetivo determinar la asociación entre los factores sociodemográficos y la conducta suicida en la población de la región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durante el periodo comprendido entre 2013 y 2024, con el propósito de aportar evidencia científica que contribuya al diseño de intervenciones preventivas adaptadas a las características socioculturales de la población.</w:t>
      </w:r>
    </w:p>
    <w:p w:rsidR="001405DD" w:rsidRDefault="001405DD" w:rsidP="00A96E4A">
      <w:pPr>
        <w:spacing w:line="360" w:lineRule="auto"/>
        <w:jc w:val="both"/>
        <w:rPr>
          <w:rFonts w:ascii="Arial" w:hAnsi="Arial" w:cs="Arial"/>
          <w:sz w:val="24"/>
          <w:szCs w:val="24"/>
        </w:rPr>
      </w:pPr>
    </w:p>
    <w:p w:rsidR="00EB5E5C" w:rsidRDefault="00EB5E5C" w:rsidP="00A96E4A">
      <w:pPr>
        <w:spacing w:line="360" w:lineRule="auto"/>
        <w:jc w:val="both"/>
        <w:rPr>
          <w:rFonts w:ascii="Arial" w:hAnsi="Arial" w:cs="Arial"/>
          <w:sz w:val="24"/>
          <w:szCs w:val="24"/>
        </w:rPr>
      </w:pPr>
    </w:p>
    <w:p w:rsidR="00EB5E5C" w:rsidRDefault="00EB5E5C" w:rsidP="00A96E4A">
      <w:pPr>
        <w:spacing w:line="360" w:lineRule="auto"/>
        <w:jc w:val="both"/>
        <w:rPr>
          <w:rFonts w:ascii="Arial" w:hAnsi="Arial" w:cs="Arial"/>
          <w:sz w:val="24"/>
          <w:szCs w:val="24"/>
        </w:rPr>
      </w:pPr>
    </w:p>
    <w:p w:rsidR="00EB5E5C" w:rsidRDefault="00EB5E5C" w:rsidP="00A96E4A">
      <w:pPr>
        <w:spacing w:line="360" w:lineRule="auto"/>
        <w:jc w:val="both"/>
        <w:rPr>
          <w:rFonts w:ascii="Arial" w:hAnsi="Arial" w:cs="Arial"/>
          <w:sz w:val="24"/>
          <w:szCs w:val="24"/>
        </w:rPr>
      </w:pPr>
    </w:p>
    <w:p w:rsidR="00A96E4A" w:rsidRPr="00EB5E5C" w:rsidRDefault="00A96E4A" w:rsidP="00A96E4A">
      <w:pPr>
        <w:spacing w:line="360" w:lineRule="auto"/>
        <w:jc w:val="both"/>
        <w:rPr>
          <w:rFonts w:ascii="Arial" w:hAnsi="Arial" w:cs="Arial"/>
          <w:b/>
          <w:sz w:val="24"/>
          <w:szCs w:val="24"/>
        </w:rPr>
      </w:pPr>
      <w:r w:rsidRPr="00EB5E5C">
        <w:rPr>
          <w:rFonts w:ascii="Arial" w:hAnsi="Arial" w:cs="Arial"/>
          <w:b/>
          <w:sz w:val="24"/>
          <w:szCs w:val="24"/>
        </w:rPr>
        <w:lastRenderedPageBreak/>
        <w:t>MATERIALES Y MÉTODOS</w:t>
      </w:r>
    </w:p>
    <w:p w:rsidR="00A96E4A" w:rsidRPr="00EB5E5C" w:rsidRDefault="00A96E4A" w:rsidP="00A96E4A">
      <w:pPr>
        <w:spacing w:line="360" w:lineRule="auto"/>
        <w:jc w:val="both"/>
        <w:rPr>
          <w:rFonts w:ascii="Arial" w:hAnsi="Arial" w:cs="Arial"/>
          <w:b/>
          <w:sz w:val="24"/>
          <w:szCs w:val="24"/>
        </w:rPr>
      </w:pPr>
      <w:r w:rsidRPr="00EB5E5C">
        <w:rPr>
          <w:rFonts w:ascii="Arial" w:hAnsi="Arial" w:cs="Arial"/>
          <w:b/>
          <w:sz w:val="24"/>
          <w:szCs w:val="24"/>
        </w:rPr>
        <w:t>Diseño del estudio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Se realizó un estudio observacional, retrospectivo, analítico y de corte transversal con el propósito de evaluar la asociación entre los factores sociodemográficos y la conducta suicida en la población de la región </w:t>
      </w:r>
      <w:proofErr w:type="spellStart"/>
      <w:r w:rsidRPr="00A96E4A">
        <w:rPr>
          <w:rFonts w:ascii="Arial" w:hAnsi="Arial" w:cs="Arial"/>
          <w:sz w:val="24"/>
          <w:szCs w:val="24"/>
        </w:rPr>
        <w:t>Ixil</w:t>
      </w:r>
      <w:proofErr w:type="spellEnd"/>
      <w:r w:rsidRPr="00A96E4A">
        <w:rPr>
          <w:rFonts w:ascii="Arial" w:hAnsi="Arial" w:cs="Arial"/>
          <w:sz w:val="24"/>
          <w:szCs w:val="24"/>
        </w:rPr>
        <w:t>, Guatemala, durante el periodo comprendido entre el 1 de enero de 2013 y el 31 de diciembre de 2024.</w:t>
      </w:r>
    </w:p>
    <w:p w:rsidR="00A96E4A" w:rsidRPr="00EB5E5C" w:rsidRDefault="00A96E4A" w:rsidP="00A96E4A">
      <w:pPr>
        <w:spacing w:line="360" w:lineRule="auto"/>
        <w:jc w:val="both"/>
        <w:rPr>
          <w:rFonts w:ascii="Arial" w:hAnsi="Arial" w:cs="Arial"/>
          <w:b/>
          <w:sz w:val="24"/>
          <w:szCs w:val="24"/>
        </w:rPr>
      </w:pPr>
      <w:r w:rsidRPr="00EB5E5C">
        <w:rPr>
          <w:rFonts w:ascii="Arial" w:hAnsi="Arial" w:cs="Arial"/>
          <w:b/>
          <w:sz w:val="24"/>
          <w:szCs w:val="24"/>
        </w:rPr>
        <w:t>Área de estudio</w:t>
      </w:r>
    </w:p>
    <w:p w:rsid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investigación se desarrolló en la región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ubicada en el departamento de Quiché, Guatemala, conformada por los municipios de Santa María </w:t>
      </w:r>
      <w:proofErr w:type="spellStart"/>
      <w:r w:rsidRPr="00A96E4A">
        <w:rPr>
          <w:rFonts w:ascii="Arial" w:hAnsi="Arial" w:cs="Arial"/>
          <w:sz w:val="24"/>
          <w:szCs w:val="24"/>
        </w:rPr>
        <w:t>Nebaj</w:t>
      </w:r>
      <w:proofErr w:type="spellEnd"/>
      <w:r w:rsidRPr="00A96E4A">
        <w:rPr>
          <w:rFonts w:ascii="Arial" w:hAnsi="Arial" w:cs="Arial"/>
          <w:sz w:val="24"/>
          <w:szCs w:val="24"/>
        </w:rPr>
        <w:t xml:space="preserve">, San Juan </w:t>
      </w:r>
      <w:proofErr w:type="spellStart"/>
      <w:r w:rsidRPr="00A96E4A">
        <w:rPr>
          <w:rFonts w:ascii="Arial" w:hAnsi="Arial" w:cs="Arial"/>
          <w:sz w:val="24"/>
          <w:szCs w:val="24"/>
        </w:rPr>
        <w:t>Cotzal</w:t>
      </w:r>
      <w:proofErr w:type="spellEnd"/>
      <w:r w:rsidRPr="00A96E4A">
        <w:rPr>
          <w:rFonts w:ascii="Arial" w:hAnsi="Arial" w:cs="Arial"/>
          <w:sz w:val="24"/>
          <w:szCs w:val="24"/>
        </w:rPr>
        <w:t xml:space="preserve"> y San Gaspar </w:t>
      </w:r>
      <w:proofErr w:type="spellStart"/>
      <w:r w:rsidRPr="00A96E4A">
        <w:rPr>
          <w:rFonts w:ascii="Arial" w:hAnsi="Arial" w:cs="Arial"/>
          <w:sz w:val="24"/>
          <w:szCs w:val="24"/>
        </w:rPr>
        <w:t>Chajul</w:t>
      </w:r>
      <w:proofErr w:type="spellEnd"/>
      <w:r w:rsidRPr="00A96E4A">
        <w:rPr>
          <w:rFonts w:ascii="Arial" w:hAnsi="Arial" w:cs="Arial"/>
          <w:sz w:val="24"/>
          <w:szCs w:val="24"/>
        </w:rPr>
        <w:t xml:space="preserve">. Esta región se caracteriza por una población mayoritariamente indígena maya </w:t>
      </w:r>
      <w:proofErr w:type="spellStart"/>
      <w:r w:rsidRPr="00A96E4A">
        <w:rPr>
          <w:rFonts w:ascii="Arial" w:hAnsi="Arial" w:cs="Arial"/>
          <w:sz w:val="24"/>
          <w:szCs w:val="24"/>
        </w:rPr>
        <w:t>Ixil</w:t>
      </w:r>
      <w:proofErr w:type="spellEnd"/>
      <w:r w:rsidRPr="00A96E4A">
        <w:rPr>
          <w:rFonts w:ascii="Arial" w:hAnsi="Arial" w:cs="Arial"/>
          <w:sz w:val="24"/>
          <w:szCs w:val="24"/>
        </w:rPr>
        <w:t>, condiciones socioeconómicas desfavorables, dispersión geográfica y acceso limitado a los servicios especializados de salud mental, características que la convierten en un escenario de interés para el estudio de la conducta suicida.</w:t>
      </w:r>
    </w:p>
    <w:p w:rsidR="00A96E4A" w:rsidRPr="00EB5E5C" w:rsidRDefault="00A96E4A" w:rsidP="00A96E4A">
      <w:pPr>
        <w:spacing w:line="360" w:lineRule="auto"/>
        <w:jc w:val="both"/>
        <w:rPr>
          <w:rFonts w:ascii="Arial" w:hAnsi="Arial" w:cs="Arial"/>
          <w:b/>
          <w:sz w:val="24"/>
          <w:szCs w:val="24"/>
        </w:rPr>
      </w:pPr>
      <w:r w:rsidRPr="00EB5E5C">
        <w:rPr>
          <w:rFonts w:ascii="Arial" w:hAnsi="Arial" w:cs="Arial"/>
          <w:b/>
          <w:sz w:val="24"/>
          <w:szCs w:val="24"/>
        </w:rPr>
        <w:t>Población y muestra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 población estuvo constituida por todos los registros de intentos de suicidio y suicidios consumados documentados durante el periodo de estudio. Debido al número manejable de casos, se realizó un muestreo censal, incluyendo la totalidad de los registros que cumplieron los criterios de selección.</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muestra final estuvo conformada por 891 registros, obtenidos mediante la integración de información procedente de la Dirección de Redes Integradas e Integrales de Servicios de Salud del Área </w:t>
      </w:r>
      <w:proofErr w:type="spellStart"/>
      <w:r w:rsidRPr="00A96E4A">
        <w:rPr>
          <w:rFonts w:ascii="Arial" w:hAnsi="Arial" w:cs="Arial"/>
          <w:sz w:val="24"/>
          <w:szCs w:val="24"/>
        </w:rPr>
        <w:t>Ixil</w:t>
      </w:r>
      <w:proofErr w:type="spellEnd"/>
      <w:r w:rsidRPr="00A96E4A">
        <w:rPr>
          <w:rFonts w:ascii="Arial" w:hAnsi="Arial" w:cs="Arial"/>
          <w:sz w:val="24"/>
          <w:szCs w:val="24"/>
        </w:rPr>
        <w:t xml:space="preserve">, el Hospital Nacional de </w:t>
      </w:r>
      <w:proofErr w:type="spellStart"/>
      <w:r w:rsidRPr="00A96E4A">
        <w:rPr>
          <w:rFonts w:ascii="Arial" w:hAnsi="Arial" w:cs="Arial"/>
          <w:sz w:val="24"/>
          <w:szCs w:val="24"/>
        </w:rPr>
        <w:t>Nebaj</w:t>
      </w:r>
      <w:proofErr w:type="spellEnd"/>
      <w:r w:rsidRPr="00A96E4A">
        <w:rPr>
          <w:rFonts w:ascii="Arial" w:hAnsi="Arial" w:cs="Arial"/>
          <w:sz w:val="24"/>
          <w:szCs w:val="24"/>
        </w:rPr>
        <w:t xml:space="preserve"> y el Registro Nacional de las Personas (RENAP).</w:t>
      </w:r>
    </w:p>
    <w:p w:rsidR="001405DD"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Criterios de inclusión y exclusión</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Se incluyeron todos los registros correspondientes a personas con intento de suicidio o suicidio consumado ocurridos entre 2013 y 2024 que contaran con información suficiente para el análisis de las variables de estudio.</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Se excluyeron los registros duplicados, aquellos con información incompleta que impidiera la clasificación de las variables principales y los casos cuya documentación no permitiera confirmar el diagnóstico o la condición evaluada.</w:t>
      </w:r>
    </w:p>
    <w:p w:rsidR="00A96E4A"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Variables de estudio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 variable dependiente fue la conducta suicida, clasificada como intento de suicidio o suicidio consumado.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Las variables independientes incluyeron:</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Sexo;</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edad;</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municipio de residencia;</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área de residencia;</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Grupo Étnico;</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nivel educativo;</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ocupación;</w:t>
      </w:r>
    </w:p>
    <w:p w:rsidR="00A96E4A" w:rsidRPr="00373B54" w:rsidRDefault="00A96E4A" w:rsidP="00373B54">
      <w:pPr>
        <w:pStyle w:val="Prrafodelista"/>
        <w:numPr>
          <w:ilvl w:val="0"/>
          <w:numId w:val="2"/>
        </w:numPr>
        <w:spacing w:line="360" w:lineRule="auto"/>
        <w:jc w:val="both"/>
        <w:rPr>
          <w:rFonts w:ascii="Arial" w:hAnsi="Arial" w:cs="Arial"/>
          <w:sz w:val="24"/>
          <w:szCs w:val="24"/>
        </w:rPr>
      </w:pPr>
      <w:r w:rsidRPr="00373B54">
        <w:rPr>
          <w:rFonts w:ascii="Arial" w:hAnsi="Arial" w:cs="Arial"/>
          <w:sz w:val="24"/>
          <w:szCs w:val="24"/>
        </w:rPr>
        <w:t>Estado civil.</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Adicionalmente, se describieron variables clínicas relacionadas con el método utilizado, antecedentes personales y familiares, así como información sobre atención en salud m</w:t>
      </w:r>
      <w:r w:rsidR="00143EB0">
        <w:rPr>
          <w:rFonts w:ascii="Arial" w:hAnsi="Arial" w:cs="Arial"/>
          <w:sz w:val="24"/>
          <w:szCs w:val="24"/>
        </w:rPr>
        <w:t>ental cuando estuvo disponible.</w:t>
      </w:r>
    </w:p>
    <w:p w:rsidR="00A96E4A"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Recolección de la información</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información fue obtenida mediante la revisión sistemática de los registros institucionales disponibles en las tres fuentes participantes. Posteriormente se construyó una base de datos unificada, garantizando la confidencialidad de la información mediante la eliminación de datos de identificación personal </w:t>
      </w:r>
      <w:r w:rsidR="00143EB0">
        <w:rPr>
          <w:rFonts w:ascii="Arial" w:hAnsi="Arial" w:cs="Arial"/>
          <w:sz w:val="24"/>
          <w:szCs w:val="24"/>
        </w:rPr>
        <w:t>antes del análisis estadístico.</w:t>
      </w:r>
    </w:p>
    <w:p w:rsidR="00A96E4A"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Análisis estadístico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Los datos fueron procesados utilizando un software estadístico. Inicialmente se realizó un análisis descriptivo mediante frecuencias absolutas y porcentajes para caracterizar la población de estudio.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Posteriormente, se evaluó la asociación entre la conducta suicida y las variables sociodemo</w:t>
      </w:r>
      <w:r w:rsidR="00373B54">
        <w:rPr>
          <w:rFonts w:ascii="Arial" w:hAnsi="Arial" w:cs="Arial"/>
          <w:sz w:val="24"/>
          <w:szCs w:val="24"/>
        </w:rPr>
        <w:t xml:space="preserve">gráficas mediante la prueba de </w:t>
      </w:r>
      <w:proofErr w:type="spellStart"/>
      <w:r w:rsidR="00373B54">
        <w:rPr>
          <w:rFonts w:ascii="Arial" w:hAnsi="Arial" w:cs="Arial"/>
          <w:sz w:val="24"/>
          <w:szCs w:val="24"/>
        </w:rPr>
        <w:t>c</w:t>
      </w:r>
      <w:r w:rsidRPr="00A96E4A">
        <w:rPr>
          <w:rFonts w:ascii="Arial" w:hAnsi="Arial" w:cs="Arial"/>
          <w:sz w:val="24"/>
          <w:szCs w:val="24"/>
        </w:rPr>
        <w:t>hi</w:t>
      </w:r>
      <w:proofErr w:type="spellEnd"/>
      <w:r w:rsidRPr="00A96E4A">
        <w:rPr>
          <w:rFonts w:ascii="Arial" w:hAnsi="Arial" w:cs="Arial"/>
          <w:sz w:val="24"/>
          <w:szCs w:val="24"/>
        </w:rPr>
        <w:t xml:space="preserve"> cuadrado de Pearson. Para estimar la magnitud de la asociación se calculó el coeficiente V de </w:t>
      </w:r>
      <w:proofErr w:type="spellStart"/>
      <w:r w:rsidRPr="00A96E4A">
        <w:rPr>
          <w:rFonts w:ascii="Arial" w:hAnsi="Arial" w:cs="Arial"/>
          <w:sz w:val="24"/>
          <w:szCs w:val="24"/>
        </w:rPr>
        <w:t>Cramér</w:t>
      </w:r>
      <w:proofErr w:type="spellEnd"/>
      <w:r w:rsidRPr="00A96E4A">
        <w:rPr>
          <w:rFonts w:ascii="Arial" w:hAnsi="Arial" w:cs="Arial"/>
          <w:sz w:val="24"/>
          <w:szCs w:val="24"/>
        </w:rPr>
        <w:t xml:space="preserve">, interpretando su fuerza de acuerdo con los criterios convencionalmente aceptados. Se consideró un valor de p &lt; 0.05 como </w:t>
      </w:r>
      <w:r w:rsidR="00143EB0">
        <w:rPr>
          <w:rFonts w:ascii="Arial" w:hAnsi="Arial" w:cs="Arial"/>
          <w:sz w:val="24"/>
          <w:szCs w:val="24"/>
        </w:rPr>
        <w:t>estadísticamente significativo.</w:t>
      </w:r>
    </w:p>
    <w:p w:rsidR="00A96E4A"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Consideraciones éticas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 investigación fue aprobada por las autoridades académicas correspondientes como parte del trabajo de graduación para optar al título de Médico y Cirujano del Centro Universitario de Occidente de la Universi</w:t>
      </w:r>
      <w:r w:rsidR="00143EB0">
        <w:rPr>
          <w:rFonts w:ascii="Arial" w:hAnsi="Arial" w:cs="Arial"/>
          <w:sz w:val="24"/>
          <w:szCs w:val="24"/>
        </w:rPr>
        <w:t>dad de San Carlos de Guatemala.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Se garantizó la confidencialidad de la información mediante la </w:t>
      </w:r>
      <w:proofErr w:type="spellStart"/>
      <w:r w:rsidRPr="00A96E4A">
        <w:rPr>
          <w:rFonts w:ascii="Arial" w:hAnsi="Arial" w:cs="Arial"/>
          <w:sz w:val="24"/>
          <w:szCs w:val="24"/>
        </w:rPr>
        <w:t>anonimización</w:t>
      </w:r>
      <w:proofErr w:type="spellEnd"/>
      <w:r w:rsidRPr="00A96E4A">
        <w:rPr>
          <w:rFonts w:ascii="Arial" w:hAnsi="Arial" w:cs="Arial"/>
          <w:sz w:val="24"/>
          <w:szCs w:val="24"/>
        </w:rPr>
        <w:t xml:space="preserve"> de los registros analizados y el uso exclusivo de los datos con fines científicos y académicos, respetando los principios éticos para la investigación en seres humanos y la normativa nacional vigente.</w:t>
      </w:r>
    </w:p>
    <w:p w:rsidR="00373B54" w:rsidRDefault="00373B54" w:rsidP="00A96E4A">
      <w:pPr>
        <w:spacing w:line="360" w:lineRule="auto"/>
        <w:jc w:val="both"/>
        <w:rPr>
          <w:rFonts w:ascii="Arial" w:hAnsi="Arial" w:cs="Arial"/>
          <w:sz w:val="24"/>
          <w:szCs w:val="24"/>
        </w:rPr>
      </w:pPr>
    </w:p>
    <w:p w:rsidR="00A96E4A" w:rsidRPr="00373B54" w:rsidRDefault="00A96E4A" w:rsidP="00A96E4A">
      <w:pPr>
        <w:spacing w:line="360" w:lineRule="auto"/>
        <w:jc w:val="both"/>
        <w:rPr>
          <w:rFonts w:ascii="Arial" w:hAnsi="Arial" w:cs="Arial"/>
          <w:b/>
          <w:sz w:val="24"/>
          <w:szCs w:val="24"/>
        </w:rPr>
      </w:pPr>
      <w:r w:rsidRPr="00373B54">
        <w:rPr>
          <w:rFonts w:ascii="Arial" w:hAnsi="Arial" w:cs="Arial"/>
          <w:b/>
          <w:sz w:val="24"/>
          <w:szCs w:val="24"/>
        </w:rPr>
        <w:t>RESULTADOS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Durante el periodo comprendido entre 2013 y 2024 se analizaron 891 registros correspondientes a personas con conducta suicida en la región </w:t>
      </w:r>
      <w:proofErr w:type="spellStart"/>
      <w:r w:rsidRPr="00A96E4A">
        <w:rPr>
          <w:rFonts w:ascii="Arial" w:hAnsi="Arial" w:cs="Arial"/>
          <w:sz w:val="24"/>
          <w:szCs w:val="24"/>
        </w:rPr>
        <w:t>Ixil</w:t>
      </w:r>
      <w:proofErr w:type="spellEnd"/>
      <w:r w:rsidRPr="00A96E4A">
        <w:rPr>
          <w:rFonts w:ascii="Arial" w:hAnsi="Arial" w:cs="Arial"/>
          <w:sz w:val="24"/>
          <w:szCs w:val="24"/>
        </w:rPr>
        <w:t>, departamento de Quiché. De estos casos, 587 (65,9%) correspondieron a intentos de suicidio y 304 (34,1%) a suicidios consumados.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Las características generales de la población estudiada se presentan en la Tabla 1. La mayor proporción de casos se observó en adultos jóvenes, predominando la población indígena maya </w:t>
      </w:r>
      <w:proofErr w:type="spellStart"/>
      <w:r w:rsidRPr="00A96E4A">
        <w:rPr>
          <w:rFonts w:ascii="Arial" w:hAnsi="Arial" w:cs="Arial"/>
          <w:sz w:val="24"/>
          <w:szCs w:val="24"/>
        </w:rPr>
        <w:t>Ixil</w:t>
      </w:r>
      <w:proofErr w:type="spellEnd"/>
      <w:r w:rsidRPr="00A96E4A">
        <w:rPr>
          <w:rFonts w:ascii="Arial" w:hAnsi="Arial" w:cs="Arial"/>
          <w:sz w:val="24"/>
          <w:szCs w:val="24"/>
        </w:rPr>
        <w:t xml:space="preserve"> y los residentes del municipio de Santa María </w:t>
      </w:r>
      <w:proofErr w:type="spellStart"/>
      <w:r w:rsidRPr="00A96E4A">
        <w:rPr>
          <w:rFonts w:ascii="Arial" w:hAnsi="Arial" w:cs="Arial"/>
          <w:sz w:val="24"/>
          <w:szCs w:val="24"/>
        </w:rPr>
        <w:t>Nebaj</w:t>
      </w:r>
      <w:proofErr w:type="spellEnd"/>
      <w:r w:rsidRPr="00A96E4A">
        <w:rPr>
          <w:rFonts w:ascii="Arial" w:hAnsi="Arial" w:cs="Arial"/>
          <w:sz w:val="24"/>
          <w:szCs w:val="24"/>
        </w:rPr>
        <w:t>, lo que refleja la distribución demográfica característica de la región.</w:t>
      </w:r>
    </w:p>
    <w:p w:rsidR="00612F01"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El análisis </w:t>
      </w:r>
      <w:proofErr w:type="spellStart"/>
      <w:r w:rsidRPr="00A96E4A">
        <w:rPr>
          <w:rFonts w:ascii="Arial" w:hAnsi="Arial" w:cs="Arial"/>
          <w:sz w:val="24"/>
          <w:szCs w:val="24"/>
        </w:rPr>
        <w:t>bivariado</w:t>
      </w:r>
      <w:proofErr w:type="spellEnd"/>
      <w:r w:rsidRPr="00A96E4A">
        <w:rPr>
          <w:rFonts w:ascii="Arial" w:hAnsi="Arial" w:cs="Arial"/>
          <w:sz w:val="24"/>
          <w:szCs w:val="24"/>
        </w:rPr>
        <w:t xml:space="preserve"> evidenció una asociación estadísticamente significativa entre la conducta suicida y diversas variables sociodemográficas (Tabla 2). El sexo mostró una asociación significativa con el tipo de conducta suicida (χ² = 31.0; p &lt; 0,001; V de </w:t>
      </w:r>
      <w:proofErr w:type="spellStart"/>
      <w:r w:rsidRPr="00A96E4A">
        <w:rPr>
          <w:rFonts w:ascii="Arial" w:hAnsi="Arial" w:cs="Arial"/>
          <w:sz w:val="24"/>
          <w:szCs w:val="24"/>
        </w:rPr>
        <w:t>Cramér</w:t>
      </w:r>
      <w:proofErr w:type="spellEnd"/>
      <w:r w:rsidRPr="00A96E4A">
        <w:rPr>
          <w:rFonts w:ascii="Arial" w:hAnsi="Arial" w:cs="Arial"/>
          <w:sz w:val="24"/>
          <w:szCs w:val="24"/>
        </w:rPr>
        <w:t xml:space="preserve"> = 0.187), indicando diferencias en la distri</w:t>
      </w:r>
      <w:r w:rsidR="007D3FFB">
        <w:rPr>
          <w:rFonts w:ascii="Arial" w:hAnsi="Arial" w:cs="Arial"/>
          <w:sz w:val="24"/>
          <w:szCs w:val="24"/>
        </w:rPr>
        <w:t>bución entre hombres y mujeres.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La edad también presentó una asociación estadísticamente significativa (χ² = 16.7; p = 0,033; V = 0.137), observándose una mayor frecuencia de casos en adolescentes y adultos jóvenes.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Respecto al municipio de residencia, se identificó una asociación significativa con la conducta suicida (χ² = 9.0; p = 0.011), siendo Santa María </w:t>
      </w:r>
      <w:proofErr w:type="spellStart"/>
      <w:r w:rsidRPr="00A96E4A">
        <w:rPr>
          <w:rFonts w:ascii="Arial" w:hAnsi="Arial" w:cs="Arial"/>
          <w:sz w:val="24"/>
          <w:szCs w:val="24"/>
        </w:rPr>
        <w:t>Nebaj</w:t>
      </w:r>
      <w:proofErr w:type="spellEnd"/>
      <w:r w:rsidRPr="00A96E4A">
        <w:rPr>
          <w:rFonts w:ascii="Arial" w:hAnsi="Arial" w:cs="Arial"/>
          <w:sz w:val="24"/>
          <w:szCs w:val="24"/>
        </w:rPr>
        <w:t xml:space="preserve"> el municipio con el mayor número de registros.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El nivel educativo mostró una asociación significativa (χ² = 15.1; p = 0.0098), al igual que la ocupación, variable que presenta la asociación de mayor magnitud dentro del estudio (χ²</w:t>
      </w:r>
      <w:r w:rsidR="00143EB0">
        <w:rPr>
          <w:rFonts w:ascii="Arial" w:hAnsi="Arial" w:cs="Arial"/>
          <w:sz w:val="24"/>
          <w:szCs w:val="24"/>
        </w:rPr>
        <w:t xml:space="preserve"> = 97.4; p &lt; 0,001; V = 0,331).</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El grupo étnico también se asoció significativamente con la conducta suicida (χ² = 56.2; p &lt; 0,001; V = 0.251), lo que evidencia la importancia de considerar las características socioculturales de la población</w:t>
      </w:r>
      <w:r w:rsidR="00143EB0">
        <w:rPr>
          <w:rFonts w:ascii="Arial" w:hAnsi="Arial" w:cs="Arial"/>
          <w:sz w:val="24"/>
          <w:szCs w:val="24"/>
        </w:rPr>
        <w:t xml:space="preserve"> al interpretar los resultados.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Asimismo, el estado civil presentó una asociación estadísticamente significativa (χ²</w:t>
      </w:r>
      <w:r w:rsidR="00143EB0">
        <w:rPr>
          <w:rFonts w:ascii="Arial" w:hAnsi="Arial" w:cs="Arial"/>
          <w:sz w:val="24"/>
          <w:szCs w:val="24"/>
        </w:rPr>
        <w:t xml:space="preserve"> = 28.3; p &lt; 0,001; V = 0,178).</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En contraste, el área de residencia no mostró una asociación estadísticamente significativa con la conducta suicida (χ² = 3.13; p = 0.077), por lo que esta variable no se consideró un factor asoc</w:t>
      </w:r>
      <w:r w:rsidR="00143EB0">
        <w:rPr>
          <w:rFonts w:ascii="Arial" w:hAnsi="Arial" w:cs="Arial"/>
          <w:sz w:val="24"/>
          <w:szCs w:val="24"/>
        </w:rPr>
        <w:t>iado en la población estudiada.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Las características relacionadas con los métodos utilizados, los antecedentes personales y familiares, así como la atención recibida en los servicios de salud mental, se resumen en la Tabla 3, mientras que la distribución temporal de los casos durante el período de estudio se presenta en la Figura 1.</w:t>
      </w:r>
    </w:p>
    <w:p w:rsidR="00A96E4A" w:rsidRDefault="00A96E4A" w:rsidP="00A96E4A">
      <w:pPr>
        <w:spacing w:line="360" w:lineRule="auto"/>
        <w:jc w:val="both"/>
        <w:rPr>
          <w:rFonts w:ascii="Arial" w:hAnsi="Arial" w:cs="Arial"/>
          <w:sz w:val="24"/>
          <w:szCs w:val="24"/>
        </w:rPr>
      </w:pPr>
    </w:p>
    <w:p w:rsidR="00143EB0" w:rsidRDefault="00143EB0" w:rsidP="00A96E4A">
      <w:pPr>
        <w:spacing w:line="360" w:lineRule="auto"/>
        <w:jc w:val="both"/>
        <w:rPr>
          <w:rFonts w:ascii="Arial" w:hAnsi="Arial" w:cs="Arial"/>
          <w:sz w:val="24"/>
          <w:szCs w:val="24"/>
        </w:rPr>
      </w:pPr>
    </w:p>
    <w:p w:rsidR="00143EB0" w:rsidRDefault="00143EB0" w:rsidP="00A96E4A">
      <w:pPr>
        <w:spacing w:line="360" w:lineRule="auto"/>
        <w:jc w:val="both"/>
        <w:rPr>
          <w:rFonts w:ascii="Arial" w:hAnsi="Arial" w:cs="Arial"/>
          <w:sz w:val="24"/>
          <w:szCs w:val="24"/>
        </w:rPr>
      </w:pPr>
    </w:p>
    <w:p w:rsidR="00143EB0" w:rsidRDefault="00143EB0" w:rsidP="00A96E4A">
      <w:pPr>
        <w:spacing w:line="360" w:lineRule="auto"/>
        <w:jc w:val="both"/>
        <w:rPr>
          <w:rFonts w:ascii="Arial" w:hAnsi="Arial" w:cs="Arial"/>
          <w:sz w:val="24"/>
          <w:szCs w:val="24"/>
        </w:rPr>
      </w:pPr>
    </w:p>
    <w:p w:rsidR="00143EB0" w:rsidRDefault="00143EB0" w:rsidP="00A96E4A">
      <w:pPr>
        <w:spacing w:line="360" w:lineRule="auto"/>
        <w:jc w:val="both"/>
        <w:rPr>
          <w:rFonts w:ascii="Arial" w:hAnsi="Arial" w:cs="Arial"/>
          <w:sz w:val="24"/>
          <w:szCs w:val="24"/>
        </w:rPr>
      </w:pPr>
    </w:p>
    <w:p w:rsidR="00143EB0" w:rsidRPr="00A96E4A" w:rsidRDefault="00143EB0" w:rsidP="00A96E4A">
      <w:pPr>
        <w:spacing w:line="360" w:lineRule="auto"/>
        <w:jc w:val="both"/>
        <w:rPr>
          <w:rFonts w:ascii="Arial" w:hAnsi="Arial" w:cs="Arial"/>
          <w:sz w:val="24"/>
          <w:szCs w:val="24"/>
        </w:rPr>
      </w:pPr>
    </w:p>
    <w:p w:rsidR="00A96E4A" w:rsidRPr="00143EB0" w:rsidRDefault="0063022F" w:rsidP="007D3FFB">
      <w:pPr>
        <w:spacing w:line="360" w:lineRule="auto"/>
        <w:jc w:val="center"/>
        <w:rPr>
          <w:rFonts w:ascii="Arial" w:hAnsi="Arial" w:cs="Arial"/>
          <w:b/>
          <w:sz w:val="24"/>
          <w:szCs w:val="24"/>
        </w:rPr>
      </w:pPr>
      <w:r>
        <w:rPr>
          <w:rFonts w:ascii="Arial" w:hAnsi="Arial" w:cs="Arial"/>
          <w:b/>
          <w:sz w:val="24"/>
          <w:szCs w:val="24"/>
        </w:rPr>
        <w:lastRenderedPageBreak/>
        <w:t xml:space="preserve">Tabla </w:t>
      </w:r>
      <w:r w:rsidR="00373B54" w:rsidRPr="00143EB0">
        <w:rPr>
          <w:rFonts w:ascii="Arial" w:hAnsi="Arial" w:cs="Arial"/>
          <w:b/>
          <w:sz w:val="24"/>
          <w:szCs w:val="24"/>
        </w:rPr>
        <w:t>1</w:t>
      </w:r>
    </w:p>
    <w:p w:rsidR="00A96E4A" w:rsidRPr="00143EB0" w:rsidRDefault="00A96E4A" w:rsidP="007D3FFB">
      <w:pPr>
        <w:spacing w:line="360" w:lineRule="auto"/>
        <w:jc w:val="center"/>
        <w:rPr>
          <w:rFonts w:ascii="Arial" w:hAnsi="Arial" w:cs="Arial"/>
          <w:b/>
          <w:sz w:val="24"/>
          <w:szCs w:val="24"/>
        </w:rPr>
      </w:pPr>
      <w:r w:rsidRPr="00143EB0">
        <w:rPr>
          <w:rFonts w:ascii="Arial" w:hAnsi="Arial" w:cs="Arial"/>
          <w:b/>
          <w:sz w:val="24"/>
          <w:szCs w:val="24"/>
        </w:rPr>
        <w:t>Características generales de la población estudiada (n = 891)</w:t>
      </w:r>
    </w:p>
    <w:tbl>
      <w:tblPr>
        <w:tblStyle w:val="Tablaconcuadrcula"/>
        <w:tblW w:w="5000" w:type="pct"/>
        <w:tblLook w:val="04A0" w:firstRow="1" w:lastRow="0" w:firstColumn="1" w:lastColumn="0" w:noHBand="0" w:noVBand="1"/>
      </w:tblPr>
      <w:tblGrid>
        <w:gridCol w:w="5524"/>
        <w:gridCol w:w="1842"/>
        <w:gridCol w:w="1984"/>
      </w:tblGrid>
      <w:tr w:rsidR="0063022F" w:rsidRPr="0063022F" w:rsidTr="0063022F">
        <w:tc>
          <w:tcPr>
            <w:tcW w:w="2954" w:type="pct"/>
            <w:hideMark/>
          </w:tcPr>
          <w:p w:rsidR="0063022F" w:rsidRPr="0063022F" w:rsidRDefault="0063022F" w:rsidP="0063022F">
            <w:pPr>
              <w:rPr>
                <w:rFonts w:ascii="Times New Roman" w:eastAsia="Times New Roman" w:hAnsi="Times New Roman" w:cs="Times New Roman"/>
                <w:b/>
                <w:bCs/>
                <w:sz w:val="24"/>
                <w:szCs w:val="24"/>
              </w:rPr>
            </w:pPr>
            <w:r w:rsidRPr="0063022F">
              <w:rPr>
                <w:rFonts w:ascii="Times New Roman" w:eastAsia="Times New Roman" w:hAnsi="Times New Roman" w:cs="Times New Roman"/>
                <w:b/>
                <w:bCs/>
                <w:sz w:val="24"/>
                <w:szCs w:val="24"/>
              </w:rPr>
              <w:t>Variable</w:t>
            </w:r>
          </w:p>
        </w:tc>
        <w:tc>
          <w:tcPr>
            <w:tcW w:w="985" w:type="pct"/>
            <w:hideMark/>
          </w:tcPr>
          <w:p w:rsidR="0063022F" w:rsidRPr="0063022F" w:rsidRDefault="0063022F" w:rsidP="0063022F">
            <w:pPr>
              <w:jc w:val="right"/>
              <w:rPr>
                <w:rFonts w:ascii="Times New Roman" w:eastAsia="Times New Roman" w:hAnsi="Times New Roman" w:cs="Times New Roman"/>
                <w:b/>
                <w:bCs/>
                <w:sz w:val="24"/>
                <w:szCs w:val="24"/>
              </w:rPr>
            </w:pPr>
            <w:r w:rsidRPr="0063022F">
              <w:rPr>
                <w:rFonts w:ascii="Times New Roman" w:eastAsia="Times New Roman" w:hAnsi="Times New Roman" w:cs="Times New Roman"/>
                <w:b/>
                <w:bCs/>
                <w:sz w:val="24"/>
                <w:szCs w:val="24"/>
              </w:rPr>
              <w:t>n</w:t>
            </w:r>
          </w:p>
        </w:tc>
        <w:tc>
          <w:tcPr>
            <w:tcW w:w="1061" w:type="pct"/>
            <w:hideMark/>
          </w:tcPr>
          <w:p w:rsidR="0063022F" w:rsidRPr="0063022F" w:rsidRDefault="0063022F" w:rsidP="0063022F">
            <w:pPr>
              <w:jc w:val="right"/>
              <w:rPr>
                <w:rFonts w:ascii="Times New Roman" w:eastAsia="Times New Roman" w:hAnsi="Times New Roman" w:cs="Times New Roman"/>
                <w:b/>
                <w:bCs/>
                <w:sz w:val="24"/>
                <w:szCs w:val="24"/>
              </w:rPr>
            </w:pPr>
            <w:r w:rsidRPr="0063022F">
              <w:rPr>
                <w:rFonts w:ascii="Times New Roman" w:eastAsia="Times New Roman" w:hAnsi="Times New Roman" w:cs="Times New Roman"/>
                <w:b/>
                <w:bCs/>
                <w:sz w:val="24"/>
                <w:szCs w:val="24"/>
              </w:rPr>
              <w:t>%</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Conducta suicida</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Intento de suicidio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587</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65.9</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Suicidio consumado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304</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34.1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Sexo</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Masculino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496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55.7</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Femenino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395</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44.3</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Grupo etario (años)</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6–10</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19</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11–15</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99</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16–20</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284</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32</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21–25</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196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22</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26–30</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117</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13</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31–35</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58</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7</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36–40</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47</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41–45</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38</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&gt;45</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33</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Municipio de procedencia</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 xml:space="preserve">Santa María </w:t>
            </w:r>
            <w:proofErr w:type="spellStart"/>
            <w:r w:rsidRPr="0063022F">
              <w:rPr>
                <w:rFonts w:ascii="Times New Roman" w:eastAsia="Times New Roman" w:hAnsi="Times New Roman" w:cs="Times New Roman"/>
                <w:sz w:val="24"/>
                <w:szCs w:val="24"/>
              </w:rPr>
              <w:t>Nebaj</w:t>
            </w:r>
            <w:proofErr w:type="spellEnd"/>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694</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78</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 xml:space="preserve">San Gaspar </w:t>
            </w:r>
            <w:proofErr w:type="spellStart"/>
            <w:r w:rsidRPr="0063022F">
              <w:rPr>
                <w:rFonts w:ascii="Times New Roman" w:eastAsia="Times New Roman" w:hAnsi="Times New Roman" w:cs="Times New Roman"/>
                <w:sz w:val="24"/>
                <w:szCs w:val="24"/>
              </w:rPr>
              <w:t>Chajul</w:t>
            </w:r>
            <w:proofErr w:type="spellEnd"/>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102</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 xml:space="preserve">San Juan </w:t>
            </w:r>
            <w:proofErr w:type="spellStart"/>
            <w:r w:rsidRPr="0063022F">
              <w:rPr>
                <w:rFonts w:ascii="Times New Roman" w:eastAsia="Times New Roman" w:hAnsi="Times New Roman" w:cs="Times New Roman"/>
                <w:sz w:val="24"/>
                <w:szCs w:val="24"/>
              </w:rPr>
              <w:t>Cotzal</w:t>
            </w:r>
            <w:proofErr w:type="spellEnd"/>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95</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Área de residencia</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Rural</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555</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62</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Urbana</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336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38</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Nivel educativo</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Ninguno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239</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27</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Primaria incompleta</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216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24</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Primaria completa</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121</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14</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Básico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180</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20</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Diversificado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129</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14</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Universitario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Ocupación</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Agricultor</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202</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23</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Ama de casa</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190</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Estudiante</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182</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20</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Desempleado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86</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10</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Comercio informal</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53</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6</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Otras ocupaciones</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178</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20</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b/>
                <w:bCs/>
                <w:sz w:val="24"/>
                <w:szCs w:val="24"/>
              </w:rPr>
              <w:t>Grupo étnico</w:t>
            </w:r>
          </w:p>
        </w:tc>
        <w:tc>
          <w:tcPr>
            <w:tcW w:w="985" w:type="pct"/>
            <w:hideMark/>
          </w:tcPr>
          <w:p w:rsidR="0063022F" w:rsidRPr="0063022F" w:rsidRDefault="0063022F" w:rsidP="0063022F">
            <w:pPr>
              <w:rPr>
                <w:rFonts w:ascii="Times New Roman" w:eastAsia="Times New Roman" w:hAnsi="Times New Roman" w:cs="Times New Roman"/>
                <w:sz w:val="24"/>
                <w:szCs w:val="24"/>
              </w:rPr>
            </w:pPr>
          </w:p>
        </w:tc>
        <w:tc>
          <w:tcPr>
            <w:tcW w:w="1061" w:type="pct"/>
            <w:hideMark/>
          </w:tcPr>
          <w:p w:rsidR="0063022F" w:rsidRPr="0063022F" w:rsidRDefault="0063022F" w:rsidP="0063022F">
            <w:pPr>
              <w:jc w:val="right"/>
              <w:rPr>
                <w:rFonts w:ascii="Times New Roman" w:eastAsia="Times New Roman" w:hAnsi="Times New Roman" w:cs="Times New Roman"/>
                <w:sz w:val="20"/>
                <w:szCs w:val="20"/>
              </w:rPr>
            </w:pP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proofErr w:type="spellStart"/>
            <w:r w:rsidRPr="0063022F">
              <w:rPr>
                <w:rFonts w:ascii="Times New Roman" w:eastAsia="Times New Roman" w:hAnsi="Times New Roman" w:cs="Times New Roman"/>
                <w:sz w:val="24"/>
                <w:szCs w:val="24"/>
              </w:rPr>
              <w:t>Ixil</w:t>
            </w:r>
            <w:proofErr w:type="spellEnd"/>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831</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93</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Mestizo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40</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5</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lastRenderedPageBreak/>
              <w:t>Quiché</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7</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w:t>
            </w:r>
          </w:p>
        </w:tc>
      </w:tr>
      <w:tr w:rsidR="0063022F" w:rsidRPr="0063022F" w:rsidTr="0063022F">
        <w:tc>
          <w:tcPr>
            <w:tcW w:w="2954" w:type="pct"/>
            <w:hideMark/>
          </w:tcPr>
          <w:p w:rsidR="0063022F" w:rsidRPr="0063022F" w:rsidRDefault="0063022F" w:rsidP="0063022F">
            <w:pPr>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Ladino</w:t>
            </w:r>
          </w:p>
        </w:tc>
        <w:tc>
          <w:tcPr>
            <w:tcW w:w="985"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13</w:t>
            </w:r>
          </w:p>
        </w:tc>
        <w:tc>
          <w:tcPr>
            <w:tcW w:w="1061" w:type="pct"/>
            <w:hideMark/>
          </w:tcPr>
          <w:p w:rsidR="0063022F" w:rsidRPr="0063022F" w:rsidRDefault="0063022F" w:rsidP="0063022F">
            <w:pPr>
              <w:jc w:val="right"/>
              <w:rPr>
                <w:rFonts w:ascii="Times New Roman" w:eastAsia="Times New Roman" w:hAnsi="Times New Roman" w:cs="Times New Roman"/>
                <w:sz w:val="24"/>
                <w:szCs w:val="24"/>
              </w:rPr>
            </w:pPr>
            <w:r w:rsidRPr="0063022F">
              <w:rPr>
                <w:rFonts w:ascii="Times New Roman" w:eastAsia="Times New Roman" w:hAnsi="Times New Roman" w:cs="Times New Roman"/>
                <w:sz w:val="24"/>
                <w:szCs w:val="24"/>
              </w:rPr>
              <w:t>1</w:t>
            </w:r>
          </w:p>
        </w:tc>
      </w:tr>
    </w:tbl>
    <w:p w:rsidR="00A96E4A" w:rsidRPr="00A96E4A" w:rsidRDefault="00A96E4A" w:rsidP="00A96E4A">
      <w:pPr>
        <w:spacing w:line="360" w:lineRule="auto"/>
        <w:jc w:val="both"/>
        <w:rPr>
          <w:rFonts w:ascii="Arial" w:hAnsi="Arial" w:cs="Arial"/>
          <w:sz w:val="24"/>
          <w:szCs w:val="24"/>
        </w:rPr>
      </w:pPr>
    </w:p>
    <w:p w:rsidR="00A96E4A" w:rsidRPr="0063022F" w:rsidRDefault="00A96E4A" w:rsidP="007D3FFB">
      <w:pPr>
        <w:spacing w:line="360" w:lineRule="auto"/>
        <w:jc w:val="center"/>
        <w:rPr>
          <w:rFonts w:ascii="Arial" w:hAnsi="Arial" w:cs="Arial"/>
          <w:b/>
          <w:sz w:val="24"/>
          <w:szCs w:val="24"/>
        </w:rPr>
      </w:pPr>
      <w:r w:rsidRPr="0063022F">
        <w:rPr>
          <w:rFonts w:ascii="Arial" w:hAnsi="Arial" w:cs="Arial"/>
          <w:b/>
          <w:sz w:val="24"/>
          <w:szCs w:val="24"/>
        </w:rPr>
        <w:t>Tabla</w:t>
      </w:r>
      <w:r w:rsidR="0063022F">
        <w:rPr>
          <w:rFonts w:ascii="Arial" w:hAnsi="Arial" w:cs="Arial"/>
          <w:b/>
          <w:sz w:val="24"/>
          <w:szCs w:val="24"/>
        </w:rPr>
        <w:t xml:space="preserve"> </w:t>
      </w:r>
      <w:r w:rsidRPr="0063022F">
        <w:rPr>
          <w:rFonts w:ascii="Arial" w:hAnsi="Arial" w:cs="Arial"/>
          <w:b/>
          <w:sz w:val="24"/>
          <w:szCs w:val="24"/>
        </w:rPr>
        <w:t>2</w:t>
      </w:r>
    </w:p>
    <w:p w:rsidR="007D3FFB" w:rsidRPr="0063022F" w:rsidRDefault="007D3FFB" w:rsidP="007D3FFB">
      <w:pPr>
        <w:spacing w:line="360" w:lineRule="auto"/>
        <w:jc w:val="center"/>
        <w:rPr>
          <w:rFonts w:ascii="Arial" w:hAnsi="Arial" w:cs="Arial"/>
          <w:b/>
          <w:sz w:val="24"/>
          <w:szCs w:val="24"/>
        </w:rPr>
      </w:pPr>
      <w:r w:rsidRPr="0063022F">
        <w:rPr>
          <w:rFonts w:ascii="Arial" w:hAnsi="Arial" w:cs="Arial"/>
          <w:b/>
          <w:sz w:val="24"/>
          <w:szCs w:val="24"/>
        </w:rPr>
        <w:t>Asociación entre los factores sociodem</w:t>
      </w:r>
      <w:r w:rsidRPr="0063022F">
        <w:rPr>
          <w:rFonts w:ascii="Arial" w:hAnsi="Arial" w:cs="Arial"/>
          <w:b/>
          <w:sz w:val="24"/>
          <w:szCs w:val="24"/>
        </w:rPr>
        <w:t>ográficos y la conducta suicida</w:t>
      </w:r>
    </w:p>
    <w:tbl>
      <w:tblPr>
        <w:tblStyle w:val="Tablaconcuadrcula"/>
        <w:tblW w:w="4726" w:type="pct"/>
        <w:tblLook w:val="04A0" w:firstRow="1" w:lastRow="0" w:firstColumn="1" w:lastColumn="0" w:noHBand="0" w:noVBand="1"/>
      </w:tblPr>
      <w:tblGrid>
        <w:gridCol w:w="3231"/>
        <w:gridCol w:w="1296"/>
        <w:gridCol w:w="1183"/>
        <w:gridCol w:w="1297"/>
        <w:gridCol w:w="1831"/>
      </w:tblGrid>
      <w:tr w:rsidR="00036B82" w:rsidRPr="00D12125" w:rsidTr="0063022F">
        <w:trPr>
          <w:trHeight w:val="300"/>
        </w:trPr>
        <w:tc>
          <w:tcPr>
            <w:tcW w:w="1828" w:type="pct"/>
            <w:noWrap/>
            <w:hideMark/>
          </w:tcPr>
          <w:p w:rsidR="00036B82" w:rsidRPr="00D12125" w:rsidRDefault="00036B82" w:rsidP="0063022F">
            <w:pPr>
              <w:spacing w:line="360" w:lineRule="auto"/>
              <w:rPr>
                <w:rFonts w:eastAsia="Times New Roman"/>
                <w:b/>
                <w:bCs/>
                <w:color w:val="000000"/>
                <w:sz w:val="24"/>
                <w:szCs w:val="24"/>
              </w:rPr>
            </w:pPr>
            <w:r w:rsidRPr="00D12125">
              <w:rPr>
                <w:rFonts w:eastAsia="Times New Roman"/>
                <w:b/>
                <w:bCs/>
                <w:color w:val="000000"/>
                <w:sz w:val="24"/>
                <w:szCs w:val="24"/>
              </w:rPr>
              <w:t>VARIABLES</w:t>
            </w:r>
          </w:p>
        </w:tc>
        <w:tc>
          <w:tcPr>
            <w:tcW w:w="733" w:type="pct"/>
            <w:noWrap/>
            <w:hideMark/>
          </w:tcPr>
          <w:p w:rsidR="00036B82" w:rsidRPr="00D12125" w:rsidRDefault="00036B82"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P-VALOR</w:t>
            </w:r>
          </w:p>
        </w:tc>
        <w:tc>
          <w:tcPr>
            <w:tcW w:w="1403" w:type="pct"/>
            <w:gridSpan w:val="2"/>
          </w:tcPr>
          <w:p w:rsidR="00036B82" w:rsidRPr="00036B82" w:rsidRDefault="00036B82" w:rsidP="00036B82">
            <w:pPr>
              <w:spacing w:line="360" w:lineRule="auto"/>
              <w:jc w:val="center"/>
              <w:rPr>
                <w:rFonts w:eastAsia="Times New Roman"/>
                <w:b/>
                <w:bCs/>
                <w:color w:val="000000"/>
                <w:sz w:val="24"/>
                <w:szCs w:val="24"/>
              </w:rPr>
            </w:pPr>
            <w:proofErr w:type="spellStart"/>
            <w:r w:rsidRPr="00036B82">
              <w:rPr>
                <w:rFonts w:eastAsia="Times New Roman"/>
                <w:b/>
                <w:color w:val="000000"/>
                <w:sz w:val="24"/>
                <w:szCs w:val="24"/>
              </w:rPr>
              <w:t>Cramér's</w:t>
            </w:r>
            <w:proofErr w:type="spellEnd"/>
            <w:r w:rsidRPr="00036B82">
              <w:rPr>
                <w:rFonts w:eastAsia="Times New Roman"/>
                <w:b/>
                <w:color w:val="000000"/>
                <w:sz w:val="24"/>
                <w:szCs w:val="24"/>
              </w:rPr>
              <w:t xml:space="preserve"> V</w:t>
            </w:r>
          </w:p>
        </w:tc>
        <w:tc>
          <w:tcPr>
            <w:tcW w:w="1036" w:type="pct"/>
            <w:noWrap/>
            <w:hideMark/>
          </w:tcPr>
          <w:p w:rsidR="00036B82" w:rsidRPr="00D12125" w:rsidRDefault="00036B82"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RESULTADO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Sexo</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Masculino</w:t>
            </w: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V=0.187</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Edad</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16 a 25 años</w:t>
            </w: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P=0.033</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V=0.137</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Municipio</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 xml:space="preserve">Santa María </w:t>
            </w:r>
            <w:proofErr w:type="spellStart"/>
            <w:r w:rsidRPr="0063022F">
              <w:rPr>
                <w:rFonts w:eastAsia="Times New Roman"/>
                <w:bCs/>
                <w:color w:val="000000"/>
                <w:kern w:val="2"/>
                <w:sz w:val="24"/>
                <w:szCs w:val="24"/>
                <w14:ligatures w14:val="standardContextual"/>
              </w:rPr>
              <w:t>Nebaj</w:t>
            </w:r>
            <w:proofErr w:type="spellEnd"/>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P=0.011</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V=0.059</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Área de vivienda</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Rural</w:t>
            </w: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P=0.077</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V=0.059</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No hay efecto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 xml:space="preserve">No significativo </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Nivel educativo</w:t>
            </w:r>
          </w:p>
          <w:p w:rsidR="00036B82" w:rsidRPr="0063022F" w:rsidRDefault="00036B82" w:rsidP="0063022F">
            <w:pPr>
              <w:pStyle w:val="Prrafodelista"/>
              <w:numPr>
                <w:ilvl w:val="0"/>
                <w:numId w:val="3"/>
              </w:numPr>
              <w:spacing w:line="360" w:lineRule="auto"/>
              <w:contextualSpacing w:val="0"/>
              <w:rPr>
                <w:rFonts w:eastAsia="Times New Roman"/>
                <w:bCs/>
                <w:color w:val="000000"/>
                <w:sz w:val="24"/>
                <w:szCs w:val="24"/>
              </w:rPr>
            </w:pPr>
            <w:r w:rsidRPr="0063022F">
              <w:rPr>
                <w:rFonts w:eastAsia="Times New Roman"/>
                <w:bCs/>
                <w:color w:val="000000"/>
                <w:kern w:val="2"/>
                <w:sz w:val="24"/>
                <w:szCs w:val="24"/>
                <w14:ligatures w14:val="standardContextual"/>
              </w:rPr>
              <w:t>Ninguno</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sz w:val="24"/>
                <w:szCs w:val="24"/>
              </w:rPr>
              <w:t>Primaria incompleta</w:t>
            </w:r>
          </w:p>
          <w:p w:rsidR="00036B82" w:rsidRPr="0063022F" w:rsidRDefault="00036B82" w:rsidP="0063022F">
            <w:pPr>
              <w:spacing w:line="360" w:lineRule="auto"/>
              <w:rPr>
                <w:rFonts w:eastAsia="Times New Roman"/>
                <w:bCs/>
                <w:color w:val="000000"/>
                <w:sz w:val="24"/>
                <w:szCs w:val="24"/>
              </w:rPr>
            </w:pP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p=0.0098</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p=0.0097</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V=0.13</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Ocupación</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Agricultor</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Ama de casa</w:t>
            </w:r>
          </w:p>
          <w:p w:rsidR="00036B82" w:rsidRPr="0063022F" w:rsidRDefault="00036B82" w:rsidP="0063022F">
            <w:pPr>
              <w:pStyle w:val="Prrafodelista"/>
              <w:widowControl/>
              <w:numPr>
                <w:ilvl w:val="0"/>
                <w:numId w:val="3"/>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kern w:val="2"/>
                <w:sz w:val="24"/>
                <w:szCs w:val="24"/>
                <w14:ligatures w14:val="standardContextual"/>
              </w:rPr>
              <w:t xml:space="preserve">Estudiante </w:t>
            </w: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V=0.331</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moderado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Grupo étnico</w:t>
            </w:r>
          </w:p>
          <w:p w:rsidR="00036B82" w:rsidRPr="0063022F" w:rsidRDefault="00036B82" w:rsidP="0063022F">
            <w:pPr>
              <w:pStyle w:val="Prrafodelista"/>
              <w:widowControl/>
              <w:numPr>
                <w:ilvl w:val="0"/>
                <w:numId w:val="4"/>
              </w:numPr>
              <w:spacing w:line="360" w:lineRule="auto"/>
              <w:contextualSpacing w:val="0"/>
              <w:rPr>
                <w:rFonts w:eastAsia="Times New Roman"/>
                <w:bCs/>
                <w:color w:val="000000"/>
                <w:kern w:val="2"/>
                <w:sz w:val="24"/>
                <w:szCs w:val="24"/>
                <w14:ligatures w14:val="standardContextual"/>
              </w:rPr>
            </w:pPr>
            <w:proofErr w:type="spellStart"/>
            <w:r w:rsidRPr="0063022F">
              <w:rPr>
                <w:rFonts w:eastAsia="Times New Roman"/>
                <w:bCs/>
                <w:color w:val="000000"/>
                <w:sz w:val="24"/>
                <w:szCs w:val="24"/>
              </w:rPr>
              <w:t>Ixil</w:t>
            </w:r>
            <w:proofErr w:type="spellEnd"/>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V=0.251</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pequeño-moderado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r w:rsidR="00036B82" w:rsidRPr="0063022F" w:rsidTr="0063022F">
        <w:trPr>
          <w:trHeight w:val="300"/>
        </w:trPr>
        <w:tc>
          <w:tcPr>
            <w:tcW w:w="1828" w:type="pct"/>
            <w:noWrap/>
            <w:hideMark/>
          </w:tcPr>
          <w:p w:rsidR="00036B82" w:rsidRPr="0063022F" w:rsidRDefault="00036B82" w:rsidP="0063022F">
            <w:pPr>
              <w:spacing w:line="360" w:lineRule="auto"/>
              <w:rPr>
                <w:rFonts w:eastAsia="Times New Roman"/>
                <w:bCs/>
                <w:color w:val="000000"/>
                <w:sz w:val="24"/>
                <w:szCs w:val="24"/>
              </w:rPr>
            </w:pPr>
            <w:r w:rsidRPr="0063022F">
              <w:rPr>
                <w:rFonts w:eastAsia="Times New Roman"/>
                <w:bCs/>
                <w:color w:val="000000"/>
                <w:sz w:val="24"/>
                <w:szCs w:val="24"/>
              </w:rPr>
              <w:t>Estado civil</w:t>
            </w:r>
          </w:p>
          <w:p w:rsidR="00036B82" w:rsidRPr="0063022F" w:rsidRDefault="00036B82" w:rsidP="0063022F">
            <w:pPr>
              <w:pStyle w:val="Prrafodelista"/>
              <w:widowControl/>
              <w:numPr>
                <w:ilvl w:val="0"/>
                <w:numId w:val="4"/>
              </w:numPr>
              <w:spacing w:line="360" w:lineRule="auto"/>
              <w:contextualSpacing w:val="0"/>
              <w:rPr>
                <w:rFonts w:eastAsia="Times New Roman"/>
                <w:bCs/>
                <w:color w:val="000000"/>
                <w:kern w:val="2"/>
                <w:sz w:val="24"/>
                <w:szCs w:val="24"/>
                <w14:ligatures w14:val="standardContextual"/>
              </w:rPr>
            </w:pPr>
            <w:r w:rsidRPr="0063022F">
              <w:rPr>
                <w:rFonts w:eastAsia="Times New Roman"/>
                <w:bCs/>
                <w:color w:val="000000"/>
                <w:sz w:val="24"/>
                <w:szCs w:val="24"/>
              </w:rPr>
              <w:t>Soltero</w:t>
            </w:r>
          </w:p>
        </w:tc>
        <w:tc>
          <w:tcPr>
            <w:tcW w:w="733"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P&lt;0.001</w:t>
            </w:r>
          </w:p>
        </w:tc>
        <w:tc>
          <w:tcPr>
            <w:tcW w:w="669"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V=0.178</w:t>
            </w:r>
          </w:p>
        </w:tc>
        <w:tc>
          <w:tcPr>
            <w:tcW w:w="734" w:type="pct"/>
          </w:tcPr>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Efecto pequeño</w:t>
            </w:r>
          </w:p>
        </w:tc>
        <w:tc>
          <w:tcPr>
            <w:tcW w:w="1036" w:type="pct"/>
            <w:noWrap/>
            <w:hideMark/>
          </w:tcPr>
          <w:p w:rsidR="00036B82" w:rsidRPr="0063022F" w:rsidRDefault="00036B82" w:rsidP="00036B82">
            <w:pPr>
              <w:spacing w:line="360" w:lineRule="auto"/>
              <w:jc w:val="center"/>
              <w:rPr>
                <w:rFonts w:eastAsia="Times New Roman"/>
                <w:color w:val="000000"/>
                <w:sz w:val="24"/>
                <w:szCs w:val="24"/>
              </w:rPr>
            </w:pPr>
          </w:p>
          <w:p w:rsidR="00036B82" w:rsidRPr="0063022F" w:rsidRDefault="00036B82" w:rsidP="00036B82">
            <w:pPr>
              <w:spacing w:line="360" w:lineRule="auto"/>
              <w:jc w:val="center"/>
              <w:rPr>
                <w:rFonts w:eastAsia="Times New Roman"/>
                <w:color w:val="000000"/>
                <w:sz w:val="24"/>
                <w:szCs w:val="24"/>
              </w:rPr>
            </w:pPr>
            <w:r w:rsidRPr="0063022F">
              <w:rPr>
                <w:rFonts w:eastAsia="Times New Roman"/>
                <w:color w:val="000000"/>
                <w:sz w:val="24"/>
                <w:szCs w:val="24"/>
              </w:rPr>
              <w:t>Significativo</w:t>
            </w:r>
          </w:p>
        </w:tc>
      </w:tr>
    </w:tbl>
    <w:p w:rsidR="00A96E4A" w:rsidRPr="0063022F"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p>
    <w:p w:rsidR="00A96E4A" w:rsidRPr="0063022F" w:rsidRDefault="007D3FFB" w:rsidP="007D3FFB">
      <w:pPr>
        <w:spacing w:line="360" w:lineRule="auto"/>
        <w:jc w:val="center"/>
        <w:rPr>
          <w:rFonts w:ascii="Arial" w:hAnsi="Arial" w:cs="Arial"/>
          <w:b/>
          <w:sz w:val="24"/>
          <w:szCs w:val="24"/>
        </w:rPr>
      </w:pPr>
      <w:r w:rsidRPr="0063022F">
        <w:rPr>
          <w:rFonts w:ascii="Arial" w:hAnsi="Arial" w:cs="Arial"/>
          <w:b/>
          <w:sz w:val="24"/>
          <w:szCs w:val="24"/>
        </w:rPr>
        <w:lastRenderedPageBreak/>
        <w:t>Tabla 3</w:t>
      </w:r>
    </w:p>
    <w:p w:rsidR="00A96E4A" w:rsidRPr="0063022F" w:rsidRDefault="00A96E4A" w:rsidP="007D3FFB">
      <w:pPr>
        <w:spacing w:line="360" w:lineRule="auto"/>
        <w:jc w:val="center"/>
        <w:rPr>
          <w:rFonts w:ascii="Arial" w:hAnsi="Arial" w:cs="Arial"/>
          <w:b/>
          <w:sz w:val="24"/>
          <w:szCs w:val="24"/>
        </w:rPr>
      </w:pPr>
      <w:r w:rsidRPr="0063022F">
        <w:rPr>
          <w:rFonts w:ascii="Arial" w:hAnsi="Arial" w:cs="Arial"/>
          <w:b/>
          <w:sz w:val="24"/>
          <w:szCs w:val="24"/>
        </w:rPr>
        <w:t>Características clínicas y antecedentes relacionados con la conducta suicida</w:t>
      </w:r>
    </w:p>
    <w:tbl>
      <w:tblPr>
        <w:tblStyle w:val="Tablaconcuadrcula"/>
        <w:tblW w:w="4994" w:type="pct"/>
        <w:tblLayout w:type="fixed"/>
        <w:tblLook w:val="04A0" w:firstRow="1" w:lastRow="0" w:firstColumn="1" w:lastColumn="0" w:noHBand="0" w:noVBand="1"/>
      </w:tblPr>
      <w:tblGrid>
        <w:gridCol w:w="3565"/>
        <w:gridCol w:w="1827"/>
        <w:gridCol w:w="1651"/>
        <w:gridCol w:w="1201"/>
        <w:gridCol w:w="1095"/>
      </w:tblGrid>
      <w:tr w:rsidR="00373B54" w:rsidRPr="00D12125" w:rsidTr="0063022F">
        <w:trPr>
          <w:trHeight w:val="350"/>
        </w:trPr>
        <w:tc>
          <w:tcPr>
            <w:tcW w:w="1908" w:type="pct"/>
            <w:noWrap/>
            <w:hideMark/>
          </w:tcPr>
          <w:p w:rsidR="00373B54" w:rsidRPr="00D12125" w:rsidRDefault="00373B54"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Antecedentes</w:t>
            </w:r>
          </w:p>
          <w:p w:rsidR="00373B54" w:rsidRPr="00D12125" w:rsidRDefault="00373B54" w:rsidP="00036B82">
            <w:pPr>
              <w:spacing w:line="360" w:lineRule="auto"/>
              <w:jc w:val="center"/>
              <w:rPr>
                <w:rFonts w:eastAsia="Times New Roman"/>
                <w:b/>
                <w:bCs/>
                <w:i/>
                <w:iCs/>
                <w:color w:val="000000"/>
                <w:sz w:val="24"/>
                <w:szCs w:val="24"/>
              </w:rPr>
            </w:pPr>
          </w:p>
        </w:tc>
        <w:tc>
          <w:tcPr>
            <w:tcW w:w="978" w:type="pct"/>
            <w:noWrap/>
            <w:hideMark/>
          </w:tcPr>
          <w:p w:rsidR="00373B54" w:rsidRPr="00D12125" w:rsidRDefault="00373B54"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Suicidios consumados</w:t>
            </w:r>
          </w:p>
        </w:tc>
        <w:tc>
          <w:tcPr>
            <w:tcW w:w="884" w:type="pct"/>
            <w:noWrap/>
            <w:hideMark/>
          </w:tcPr>
          <w:p w:rsidR="00373B54" w:rsidRPr="00D12125" w:rsidRDefault="00373B54"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Intentos de suicidio</w:t>
            </w:r>
          </w:p>
        </w:tc>
        <w:tc>
          <w:tcPr>
            <w:tcW w:w="643" w:type="pct"/>
            <w:noWrap/>
            <w:hideMark/>
          </w:tcPr>
          <w:p w:rsidR="00373B54" w:rsidRPr="00D12125" w:rsidRDefault="00373B54"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Total</w:t>
            </w:r>
          </w:p>
        </w:tc>
        <w:tc>
          <w:tcPr>
            <w:tcW w:w="586" w:type="pct"/>
          </w:tcPr>
          <w:p w:rsidR="00373B54" w:rsidRPr="00D12125" w:rsidRDefault="00373B54" w:rsidP="00036B82">
            <w:pPr>
              <w:spacing w:line="360" w:lineRule="auto"/>
              <w:jc w:val="center"/>
              <w:rPr>
                <w:rFonts w:eastAsia="Times New Roman"/>
                <w:b/>
                <w:bCs/>
                <w:color w:val="000000"/>
                <w:sz w:val="24"/>
                <w:szCs w:val="24"/>
              </w:rPr>
            </w:pPr>
            <w:r w:rsidRPr="00D12125">
              <w:rPr>
                <w:rFonts w:eastAsia="Times New Roman"/>
                <w:b/>
                <w:bCs/>
                <w:color w:val="000000"/>
                <w:sz w:val="24"/>
                <w:szCs w:val="24"/>
              </w:rPr>
              <w:t>%</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Consumo de alcohol</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157</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243</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400</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45%</w:t>
            </w:r>
          </w:p>
        </w:tc>
      </w:tr>
      <w:tr w:rsidR="00373B54" w:rsidRPr="00D12125" w:rsidTr="0063022F">
        <w:trPr>
          <w:trHeight w:val="350"/>
        </w:trPr>
        <w:tc>
          <w:tcPr>
            <w:tcW w:w="1908" w:type="pct"/>
            <w:noWrap/>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Ninguno</w:t>
            </w:r>
          </w:p>
        </w:tc>
        <w:tc>
          <w:tcPr>
            <w:tcW w:w="978" w:type="pct"/>
            <w:noWrap/>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15</w:t>
            </w:r>
          </w:p>
        </w:tc>
        <w:tc>
          <w:tcPr>
            <w:tcW w:w="884" w:type="pct"/>
            <w:noWrap/>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221</w:t>
            </w:r>
          </w:p>
        </w:tc>
        <w:tc>
          <w:tcPr>
            <w:tcW w:w="643" w:type="pct"/>
            <w:noWrap/>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236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27%</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Problemas familiares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85</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104</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189</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21%</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Problema de pareja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40</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114</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154</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17%</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Desintegración familiar</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44</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95</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139</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16%</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Consumo de tabaco</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46</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72</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118</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13%</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Problemas económicos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42</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69</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111</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13%</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Deudas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29</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62</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91</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10%</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Suicidio en la familia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36</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83</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Situación de duelo</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31</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43</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74</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Problemas de salud</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31</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41</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72</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Consumo de marihuana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17</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57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74</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Violencia familiar</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37</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39</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Situación de Perdida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24</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32</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56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6%</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Intento de suicidios anteriores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18</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45</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5%</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Historia de abuso</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25</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32</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Historia de trauma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28</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8</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Abuso sexual</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15</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32</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Depresión mayor</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24</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33</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Consumo de sustancias psicoactivas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27</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38</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4%</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Ansiedad</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21</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28</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Embarazo no deseado</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19</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22</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3%</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Esquizofrenia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7</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t>Epilepsia</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5</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16</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w:t>
            </w:r>
          </w:p>
        </w:tc>
      </w:tr>
      <w:tr w:rsidR="00373B54" w:rsidRPr="00D12125" w:rsidTr="0063022F">
        <w:trPr>
          <w:trHeight w:val="350"/>
        </w:trPr>
        <w:tc>
          <w:tcPr>
            <w:tcW w:w="1908" w:type="pct"/>
            <w:noWrap/>
            <w:hideMark/>
          </w:tcPr>
          <w:p w:rsidR="00373B54" w:rsidRPr="0063022F" w:rsidRDefault="00373B54" w:rsidP="0063022F">
            <w:pPr>
              <w:spacing w:line="360" w:lineRule="auto"/>
              <w:rPr>
                <w:rFonts w:eastAsia="Times New Roman"/>
                <w:bCs/>
                <w:i/>
                <w:iCs/>
                <w:color w:val="000000"/>
                <w:sz w:val="24"/>
                <w:szCs w:val="24"/>
              </w:rPr>
            </w:pPr>
            <w:r w:rsidRPr="0063022F">
              <w:rPr>
                <w:rFonts w:eastAsia="Times New Roman"/>
                <w:bCs/>
                <w:color w:val="000000"/>
                <w:sz w:val="24"/>
                <w:szCs w:val="24"/>
              </w:rPr>
              <w:lastRenderedPageBreak/>
              <w:t>Antecedentes judiciales</w:t>
            </w:r>
          </w:p>
        </w:tc>
        <w:tc>
          <w:tcPr>
            <w:tcW w:w="978"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9</w:t>
            </w:r>
          </w:p>
        </w:tc>
        <w:tc>
          <w:tcPr>
            <w:tcW w:w="884"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2</w:t>
            </w:r>
          </w:p>
        </w:tc>
        <w:tc>
          <w:tcPr>
            <w:tcW w:w="643" w:type="pct"/>
            <w:noWrap/>
            <w:hideMark/>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11</w:t>
            </w:r>
          </w:p>
        </w:tc>
        <w:tc>
          <w:tcPr>
            <w:tcW w:w="586" w:type="pct"/>
          </w:tcPr>
          <w:p w:rsidR="00373B54" w:rsidRPr="00D12125" w:rsidRDefault="00373B54" w:rsidP="00036B82">
            <w:pPr>
              <w:spacing w:line="360" w:lineRule="auto"/>
              <w:jc w:val="center"/>
              <w:rPr>
                <w:rFonts w:eastAsia="Times New Roman"/>
                <w:color w:val="000000"/>
                <w:sz w:val="24"/>
                <w:szCs w:val="24"/>
              </w:rPr>
            </w:pPr>
            <w:r w:rsidRPr="00D12125">
              <w:rPr>
                <w:rFonts w:eastAsia="Times New Roman"/>
                <w:color w:val="000000"/>
                <w:sz w:val="24"/>
                <w:szCs w:val="24"/>
              </w:rPr>
              <w:t>1%</w:t>
            </w:r>
          </w:p>
        </w:tc>
      </w:tr>
    </w:tbl>
    <w:p w:rsidR="00A96E4A" w:rsidRPr="00A96E4A" w:rsidRDefault="00A96E4A" w:rsidP="00A96E4A">
      <w:pPr>
        <w:spacing w:line="360" w:lineRule="auto"/>
        <w:jc w:val="both"/>
        <w:rPr>
          <w:rFonts w:ascii="Arial" w:hAnsi="Arial" w:cs="Arial"/>
          <w:sz w:val="24"/>
          <w:szCs w:val="24"/>
        </w:rPr>
      </w:pPr>
    </w:p>
    <w:p w:rsidR="00A96E4A" w:rsidRPr="0063022F" w:rsidRDefault="007D3FFB" w:rsidP="007D3FFB">
      <w:pPr>
        <w:spacing w:line="360" w:lineRule="auto"/>
        <w:jc w:val="center"/>
        <w:rPr>
          <w:rFonts w:ascii="Arial" w:hAnsi="Arial" w:cs="Arial"/>
          <w:b/>
          <w:sz w:val="24"/>
          <w:szCs w:val="24"/>
        </w:rPr>
      </w:pPr>
      <w:r w:rsidRPr="0063022F">
        <w:rPr>
          <w:rFonts w:ascii="Arial" w:hAnsi="Arial" w:cs="Arial"/>
          <w:b/>
          <w:sz w:val="24"/>
          <w:szCs w:val="24"/>
        </w:rPr>
        <w:t>Figura 1</w:t>
      </w:r>
    </w:p>
    <w:p w:rsidR="00A96E4A" w:rsidRPr="0063022F" w:rsidRDefault="00A96E4A" w:rsidP="007D3FFB">
      <w:pPr>
        <w:spacing w:line="360" w:lineRule="auto"/>
        <w:jc w:val="center"/>
        <w:rPr>
          <w:rFonts w:ascii="Arial" w:hAnsi="Arial" w:cs="Arial"/>
          <w:b/>
          <w:sz w:val="24"/>
          <w:szCs w:val="24"/>
        </w:rPr>
      </w:pPr>
      <w:r w:rsidRPr="0063022F">
        <w:rPr>
          <w:rFonts w:ascii="Arial" w:hAnsi="Arial" w:cs="Arial"/>
          <w:b/>
          <w:sz w:val="24"/>
          <w:szCs w:val="24"/>
        </w:rPr>
        <w:t xml:space="preserve">Distribución anual de los casos de conducta suicida en la región </w:t>
      </w:r>
      <w:proofErr w:type="spellStart"/>
      <w:r w:rsidRPr="0063022F">
        <w:rPr>
          <w:rFonts w:ascii="Arial" w:hAnsi="Arial" w:cs="Arial"/>
          <w:b/>
          <w:sz w:val="24"/>
          <w:szCs w:val="24"/>
        </w:rPr>
        <w:t>Ixil</w:t>
      </w:r>
      <w:proofErr w:type="spellEnd"/>
      <w:r w:rsidRPr="0063022F">
        <w:rPr>
          <w:rFonts w:ascii="Arial" w:hAnsi="Arial" w:cs="Arial"/>
          <w:b/>
          <w:sz w:val="24"/>
          <w:szCs w:val="24"/>
        </w:rPr>
        <w:t>, 2013–2024</w:t>
      </w:r>
    </w:p>
    <w:p w:rsidR="00373B54" w:rsidRPr="00A96E4A" w:rsidRDefault="00373B54" w:rsidP="00A96E4A">
      <w:pPr>
        <w:spacing w:line="360" w:lineRule="auto"/>
        <w:jc w:val="both"/>
        <w:rPr>
          <w:rFonts w:ascii="Arial" w:hAnsi="Arial" w:cs="Arial"/>
          <w:sz w:val="24"/>
          <w:szCs w:val="24"/>
        </w:rPr>
      </w:pPr>
      <w:r w:rsidRPr="00D12125">
        <w:rPr>
          <w:b/>
          <w:bCs/>
          <w:noProof/>
          <w:sz w:val="24"/>
          <w:szCs w:val="24"/>
        </w:rPr>
        <w:drawing>
          <wp:inline distT="0" distB="0" distL="0" distR="0" wp14:anchorId="13DD79B2" wp14:editId="329268FF">
            <wp:extent cx="5823585" cy="4492977"/>
            <wp:effectExtent l="0" t="0" r="5715" b="317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96E4A" w:rsidRPr="00A96E4A" w:rsidRDefault="00A96E4A" w:rsidP="00A96E4A">
      <w:pPr>
        <w:spacing w:line="360" w:lineRule="auto"/>
        <w:jc w:val="both"/>
        <w:rPr>
          <w:rFonts w:ascii="Arial" w:hAnsi="Arial" w:cs="Arial"/>
          <w:sz w:val="24"/>
          <w:szCs w:val="24"/>
        </w:rPr>
      </w:pPr>
    </w:p>
    <w:p w:rsidR="00A96E4A" w:rsidRPr="007D3FFB" w:rsidRDefault="00A96E4A" w:rsidP="00A96E4A">
      <w:pPr>
        <w:spacing w:line="360" w:lineRule="auto"/>
        <w:jc w:val="both"/>
        <w:rPr>
          <w:rFonts w:ascii="Arial" w:hAnsi="Arial" w:cs="Arial"/>
          <w:b/>
          <w:sz w:val="24"/>
          <w:szCs w:val="24"/>
        </w:rPr>
      </w:pPr>
      <w:r w:rsidRPr="007D3FFB">
        <w:rPr>
          <w:rFonts w:ascii="Arial" w:hAnsi="Arial" w:cs="Arial"/>
          <w:b/>
          <w:sz w:val="24"/>
          <w:szCs w:val="24"/>
        </w:rPr>
        <w:t>DISCUSIÓN</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El presente estudio identificó una asociación estadísticamente significativa entre la conducta suicida y diversas variables sociodemográficas, entre ellas el sexo, la edad, el municipio de residencia, el nivel educativo, la ocupación, el grupo étnico y el estado civil. Estos hallazgos respaldan la hipótesis de que la conducta suicida es un fenómeno multifactorial, condicionado por la interacción de determinantes individuales, sociales y </w:t>
      </w:r>
      <w:r w:rsidRPr="00A96E4A">
        <w:rPr>
          <w:rFonts w:ascii="Arial" w:hAnsi="Arial" w:cs="Arial"/>
          <w:sz w:val="24"/>
          <w:szCs w:val="24"/>
        </w:rPr>
        <w:lastRenderedPageBreak/>
        <w:t>culturales, más que por un único factor aislado (Organización Mundial de la S</w:t>
      </w:r>
      <w:r w:rsidR="0063022F">
        <w:rPr>
          <w:rFonts w:ascii="Arial" w:hAnsi="Arial" w:cs="Arial"/>
          <w:sz w:val="24"/>
          <w:szCs w:val="24"/>
        </w:rPr>
        <w:t xml:space="preserve">alud [OMS], 2021; </w:t>
      </w:r>
      <w:proofErr w:type="spellStart"/>
      <w:r w:rsidR="0063022F">
        <w:rPr>
          <w:rFonts w:ascii="Arial" w:hAnsi="Arial" w:cs="Arial"/>
          <w:sz w:val="24"/>
          <w:szCs w:val="24"/>
        </w:rPr>
        <w:t>Stack</w:t>
      </w:r>
      <w:proofErr w:type="spellEnd"/>
      <w:r w:rsidR="0063022F">
        <w:rPr>
          <w:rFonts w:ascii="Arial" w:hAnsi="Arial" w:cs="Arial"/>
          <w:sz w:val="24"/>
          <w:szCs w:val="24"/>
        </w:rPr>
        <w:t>, 2021).</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Uno de los hallazgos más relevantes fue la asociación observada entre la edad y la conducta suicida. La mayor concentración de casos ocurrió en adolescentes y adultos jóvenes, resultado que coincide con la evidencia internacional, la cual identifica a este grupo como uno de los más vulnerables debido a la presencia de cambios biológicos, psicológicos y sociales, así como a la exposición a factores de riesgo como violencia, consumo de sustancias, desempleo, conflictos familiares y dificultades para acceder a servicios de salud mental oportunos (Hughes et al., 2023; Organización Panameri</w:t>
      </w:r>
      <w:r w:rsidR="0063022F">
        <w:rPr>
          <w:rFonts w:ascii="Arial" w:hAnsi="Arial" w:cs="Arial"/>
          <w:sz w:val="24"/>
          <w:szCs w:val="24"/>
        </w:rPr>
        <w:t>cana de la Salud [OPS], 2025).</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Asimismo, la asociación encontrada con el sexo concuerda con investigaciones previas que describen diferencias importantes entre hombres y mujeres en la conducta suicida. Diversos estudios han señalado que las mujeres presentan con mayor frecuencia intentos de suicidio, mientras que los hombres registran una mayor proporción de suicidios consumados, fenómeno atribuido principalmente al uso de métodos de mayor letalidad y a diferencias en la búsqueda de atención médica y apoyo psicológico (Souza et</w:t>
      </w:r>
      <w:r w:rsidR="0063022F">
        <w:rPr>
          <w:rFonts w:ascii="Arial" w:hAnsi="Arial" w:cs="Arial"/>
          <w:sz w:val="24"/>
          <w:szCs w:val="24"/>
        </w:rPr>
        <w:t xml:space="preserve"> al., 2024; </w:t>
      </w:r>
      <w:proofErr w:type="spellStart"/>
      <w:r w:rsidR="0063022F">
        <w:rPr>
          <w:rFonts w:ascii="Arial" w:hAnsi="Arial" w:cs="Arial"/>
          <w:sz w:val="24"/>
          <w:szCs w:val="24"/>
        </w:rPr>
        <w:t>Saab</w:t>
      </w:r>
      <w:proofErr w:type="spellEnd"/>
      <w:r w:rsidR="0063022F">
        <w:rPr>
          <w:rFonts w:ascii="Arial" w:hAnsi="Arial" w:cs="Arial"/>
          <w:sz w:val="24"/>
          <w:szCs w:val="24"/>
        </w:rPr>
        <w:t xml:space="preserve"> et al., 2022).</w:t>
      </w:r>
    </w:p>
    <w:p w:rsid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ocupación fue la variable que presentó la mayor fuerza de asociación dentro del análisis. Este hallazgo sugiere que las condiciones económicas, la inestabilidad laboral y la limitada disponibilidad de oportunidades de desarrollo pueden influir significativamente sobre el riesgo de conducta suicida. En regiones rurales como el área </w:t>
      </w:r>
      <w:proofErr w:type="spellStart"/>
      <w:r w:rsidRPr="00A96E4A">
        <w:rPr>
          <w:rFonts w:ascii="Arial" w:hAnsi="Arial" w:cs="Arial"/>
          <w:sz w:val="24"/>
          <w:szCs w:val="24"/>
        </w:rPr>
        <w:t>Ixil</w:t>
      </w:r>
      <w:proofErr w:type="spellEnd"/>
      <w:r w:rsidRPr="00A96E4A">
        <w:rPr>
          <w:rFonts w:ascii="Arial" w:hAnsi="Arial" w:cs="Arial"/>
          <w:sz w:val="24"/>
          <w:szCs w:val="24"/>
        </w:rPr>
        <w:t>, donde una parte importante de la población depende de actividades agrícolas de subsistencia y del trabajo informal, estas condiciones pueden incrementar la vulnerabilidad frente a situaciones de crisis personales y familiares (Banc</w:t>
      </w:r>
      <w:r w:rsidR="0063022F">
        <w:rPr>
          <w:rFonts w:ascii="Arial" w:hAnsi="Arial" w:cs="Arial"/>
          <w:sz w:val="24"/>
          <w:szCs w:val="24"/>
        </w:rPr>
        <w:t>o Mundial, 2021; Robles, 2021).</w:t>
      </w:r>
    </w:p>
    <w:p w:rsidR="00CE02C3" w:rsidRPr="00A96E4A" w:rsidRDefault="00CE02C3" w:rsidP="00A96E4A">
      <w:pPr>
        <w:spacing w:line="360" w:lineRule="auto"/>
        <w:jc w:val="both"/>
        <w:rPr>
          <w:rFonts w:ascii="Arial" w:hAnsi="Arial" w:cs="Arial"/>
          <w:sz w:val="24"/>
          <w:szCs w:val="24"/>
        </w:rPr>
      </w:pPr>
      <w:r w:rsidRPr="00CE02C3">
        <w:rPr>
          <w:rFonts w:ascii="Arial" w:hAnsi="Arial" w:cs="Arial"/>
          <w:sz w:val="24"/>
          <w:szCs w:val="24"/>
        </w:rPr>
        <w:t xml:space="preserve">El nivel educativo se asoció significativamente con el suicidio (p=0.0098), observándose que el 27% de los casos no contaba con ningún nivel educativo y el 24% tenía primaria incompleta. Demostrando que más de la mitad de los eventos (51%) ocurrieron en personas con baja escolaridad, mientras que menos del 1% correspondió a personas con educación universitaria. Estos resultados refuerzan la relación entre bajo nivel </w:t>
      </w:r>
      <w:r w:rsidRPr="00CE02C3">
        <w:rPr>
          <w:rFonts w:ascii="Arial" w:hAnsi="Arial" w:cs="Arial"/>
          <w:sz w:val="24"/>
          <w:szCs w:val="24"/>
        </w:rPr>
        <w:lastRenderedPageBreak/>
        <w:t xml:space="preserve">educativo más limitadas oportunidades laborales y mayor vulnerabilidad a la conducta suicida, tal y como lo describe Pérez M, Méndez R. Donde el bajo nivel educativo limita la capacidad de una persona para comprender el entorno, resolver problemas de manera efectiva y acceder a oportunidades de desarrollo. En adolescentes guatemaltecos, más del 65 % de los intentos suicidas se presentaron en quienes solo </w:t>
      </w:r>
      <w:r>
        <w:rPr>
          <w:rFonts w:ascii="Arial" w:hAnsi="Arial" w:cs="Arial"/>
          <w:sz w:val="24"/>
          <w:szCs w:val="24"/>
        </w:rPr>
        <w:t>tenían primaria incompleta (Pérez &amp; Méndez, 2020).</w:t>
      </w:r>
    </w:p>
    <w:p w:rsidR="007D3FFB" w:rsidRDefault="007D3FFB" w:rsidP="007D3FFB">
      <w:pPr>
        <w:spacing w:line="360" w:lineRule="auto"/>
        <w:jc w:val="both"/>
        <w:rPr>
          <w:rFonts w:ascii="Arial" w:hAnsi="Arial" w:cs="Arial"/>
          <w:sz w:val="24"/>
          <w:szCs w:val="24"/>
        </w:rPr>
      </w:pPr>
      <w:r w:rsidRPr="007D3FFB">
        <w:rPr>
          <w:rFonts w:ascii="Arial" w:hAnsi="Arial" w:cs="Arial"/>
          <w:sz w:val="24"/>
          <w:szCs w:val="24"/>
        </w:rPr>
        <w:t xml:space="preserve">El grupo étnico también mostró una asociación estadísticamente significativa. Este resultado debe interpretarse con cautela, ya que no implica que la pertenencia a un grupo indígena constituya por sí misma un factor causal de conducta suicida. Más bien, refleja la influencia de determinantes estructurales que afectan de manera desproporcionada a las comunidades indígenas, como la pobreza, la exclusión social, las barreras lingüísticas, el acceso limitado a los servicios especializados de salud mental y las desigualdades históricas en materia de educación y atención sanitaria (González, 2024; </w:t>
      </w:r>
      <w:proofErr w:type="spellStart"/>
      <w:r w:rsidRPr="007D3FFB">
        <w:rPr>
          <w:rFonts w:ascii="Arial" w:hAnsi="Arial" w:cs="Arial"/>
          <w:sz w:val="24"/>
          <w:szCs w:val="24"/>
        </w:rPr>
        <w:t>Chajón</w:t>
      </w:r>
      <w:proofErr w:type="spellEnd"/>
      <w:r w:rsidRPr="007D3FFB">
        <w:rPr>
          <w:rFonts w:ascii="Arial" w:hAnsi="Arial" w:cs="Arial"/>
          <w:sz w:val="24"/>
          <w:szCs w:val="24"/>
        </w:rPr>
        <w:t>, 20</w:t>
      </w:r>
      <w:r w:rsidR="0063022F">
        <w:rPr>
          <w:rFonts w:ascii="Arial" w:hAnsi="Arial" w:cs="Arial"/>
          <w:sz w:val="24"/>
          <w:szCs w:val="24"/>
        </w:rPr>
        <w:t>25).</w:t>
      </w:r>
    </w:p>
    <w:p w:rsidR="00CE02C3" w:rsidRPr="00CE02C3" w:rsidRDefault="00CE02C3" w:rsidP="00CE02C3">
      <w:pPr>
        <w:spacing w:line="360" w:lineRule="auto"/>
        <w:jc w:val="both"/>
        <w:rPr>
          <w:rFonts w:ascii="Arial" w:hAnsi="Arial" w:cs="Arial"/>
          <w:sz w:val="24"/>
          <w:szCs w:val="24"/>
        </w:rPr>
      </w:pPr>
      <w:r w:rsidRPr="00CE02C3">
        <w:rPr>
          <w:rFonts w:ascii="Arial" w:hAnsi="Arial" w:cs="Arial"/>
          <w:sz w:val="24"/>
          <w:szCs w:val="24"/>
        </w:rPr>
        <w:t xml:space="preserve">El grupo étnico </w:t>
      </w:r>
      <w:proofErr w:type="spellStart"/>
      <w:r w:rsidRPr="00CE02C3">
        <w:rPr>
          <w:rFonts w:ascii="Arial" w:hAnsi="Arial" w:cs="Arial"/>
          <w:sz w:val="24"/>
          <w:szCs w:val="24"/>
        </w:rPr>
        <w:t>Ixil</w:t>
      </w:r>
      <w:proofErr w:type="spellEnd"/>
      <w:r w:rsidRPr="00CE02C3">
        <w:rPr>
          <w:rFonts w:ascii="Arial" w:hAnsi="Arial" w:cs="Arial"/>
          <w:sz w:val="24"/>
          <w:szCs w:val="24"/>
        </w:rPr>
        <w:t xml:space="preserve"> representó el 93% del total de los casos, mostrando una asociación estadísticamente significativa con el suicidio (p&lt;0.001). Este hallazgo se considera   bajo datos de una población indígena mayoritaria en el área, expuesta a desigualdades estructurales, exclusión social y barreras culturales y lingüísticas para el acceso a servicios de salud mental, tal y como lo describe </w:t>
      </w:r>
      <w:proofErr w:type="spellStart"/>
      <w:r w:rsidRPr="00CE02C3">
        <w:rPr>
          <w:rFonts w:ascii="Arial" w:hAnsi="Arial" w:cs="Arial"/>
          <w:sz w:val="24"/>
          <w:szCs w:val="24"/>
        </w:rPr>
        <w:t>Pitts</w:t>
      </w:r>
      <w:proofErr w:type="spellEnd"/>
      <w:r w:rsidRPr="00CE02C3">
        <w:rPr>
          <w:rFonts w:ascii="Arial" w:hAnsi="Arial" w:cs="Arial"/>
          <w:sz w:val="24"/>
          <w:szCs w:val="24"/>
        </w:rPr>
        <w:t xml:space="preserve"> WJ y colaboradores, donde la procedencia geográfica, particularmente en relación con zonas rurales e indígenas, incide fuertemente en el acceso a servicios de salud mental y apoyo comunitario. En </w:t>
      </w:r>
      <w:proofErr w:type="spellStart"/>
      <w:r w:rsidRPr="00CE02C3">
        <w:rPr>
          <w:rFonts w:ascii="Arial" w:hAnsi="Arial" w:cs="Arial"/>
          <w:sz w:val="24"/>
          <w:szCs w:val="24"/>
        </w:rPr>
        <w:t>Nebaj</w:t>
      </w:r>
      <w:proofErr w:type="spellEnd"/>
      <w:r w:rsidRPr="00CE02C3">
        <w:rPr>
          <w:rFonts w:ascii="Arial" w:hAnsi="Arial" w:cs="Arial"/>
          <w:sz w:val="24"/>
          <w:szCs w:val="24"/>
        </w:rPr>
        <w:t>, el aislamiento territorial, las barreras idiomáticas, la estigmatización del suicidio y la carencia de personal capacitado obstaculizan la prevención y atención oportuna. Además, las instituciones operan con recursos limitados, sin coordinación intersectorial ni estrate</w:t>
      </w:r>
      <w:r>
        <w:rPr>
          <w:rFonts w:ascii="Arial" w:hAnsi="Arial" w:cs="Arial"/>
          <w:sz w:val="24"/>
          <w:szCs w:val="24"/>
        </w:rPr>
        <w:t>gias de detección temprana. (</w:t>
      </w:r>
      <w:proofErr w:type="spellStart"/>
      <w:r>
        <w:rPr>
          <w:rFonts w:ascii="Arial" w:hAnsi="Arial" w:cs="Arial"/>
          <w:sz w:val="24"/>
          <w:szCs w:val="24"/>
        </w:rPr>
        <w:t>Pitts</w:t>
      </w:r>
      <w:proofErr w:type="spellEnd"/>
      <w:r>
        <w:rPr>
          <w:rFonts w:ascii="Arial" w:hAnsi="Arial" w:cs="Arial"/>
          <w:sz w:val="24"/>
          <w:szCs w:val="24"/>
        </w:rPr>
        <w:t xml:space="preserve"> et al., 2022)</w:t>
      </w:r>
    </w:p>
    <w:p w:rsidR="00CE02C3" w:rsidRPr="00CE02C3" w:rsidRDefault="00CE02C3" w:rsidP="00CE02C3">
      <w:pPr>
        <w:spacing w:line="360" w:lineRule="auto"/>
        <w:jc w:val="both"/>
        <w:rPr>
          <w:rFonts w:ascii="Arial" w:hAnsi="Arial" w:cs="Arial"/>
          <w:sz w:val="24"/>
          <w:szCs w:val="24"/>
        </w:rPr>
      </w:pPr>
      <w:r w:rsidRPr="00CE02C3">
        <w:rPr>
          <w:rFonts w:ascii="Arial" w:hAnsi="Arial" w:cs="Arial"/>
          <w:sz w:val="24"/>
          <w:szCs w:val="24"/>
        </w:rPr>
        <w:t xml:space="preserve">Los antecedentes personales y familiares mostraron una asociación estadísticamente significativa con el suicidio (p&lt;0.001), destacando que el 74% de los casos presentaba al menos un antecedente relevante. Siendo el consumo de alcohol el antecedente más frecuente, presente en el 44.8% de los casos, seguido de problemas familiares (21%), desintegración familiar (16%) y problemas económicos (12%). Estos antecedentes </w:t>
      </w:r>
      <w:r w:rsidRPr="00CE02C3">
        <w:rPr>
          <w:rFonts w:ascii="Arial" w:hAnsi="Arial" w:cs="Arial"/>
          <w:sz w:val="24"/>
          <w:szCs w:val="24"/>
        </w:rPr>
        <w:lastRenderedPageBreak/>
        <w:t>reflejan la acumulación de factores de riesgo psicosocial que incrementan la probabilidad de conductas que agredan contra la propia vida.</w:t>
      </w:r>
    </w:p>
    <w:p w:rsidR="00CE02C3" w:rsidRPr="00CE02C3" w:rsidRDefault="00CE02C3" w:rsidP="00CE02C3">
      <w:pPr>
        <w:spacing w:line="360" w:lineRule="auto"/>
        <w:jc w:val="both"/>
        <w:rPr>
          <w:rFonts w:ascii="Arial" w:hAnsi="Arial" w:cs="Arial"/>
          <w:sz w:val="24"/>
          <w:szCs w:val="24"/>
        </w:rPr>
      </w:pPr>
    </w:p>
    <w:p w:rsidR="00CE02C3" w:rsidRPr="00CE02C3" w:rsidRDefault="00CE02C3" w:rsidP="00CE02C3">
      <w:pPr>
        <w:spacing w:line="360" w:lineRule="auto"/>
        <w:jc w:val="both"/>
        <w:rPr>
          <w:rFonts w:ascii="Arial" w:hAnsi="Arial" w:cs="Arial"/>
          <w:sz w:val="24"/>
          <w:szCs w:val="24"/>
        </w:rPr>
      </w:pPr>
      <w:r w:rsidRPr="00CE02C3">
        <w:rPr>
          <w:rFonts w:ascii="Arial" w:hAnsi="Arial" w:cs="Arial"/>
          <w:sz w:val="24"/>
          <w:szCs w:val="24"/>
        </w:rPr>
        <w:t xml:space="preserve">El método de suicidio mostró la asociación más fuerte con el tipo de evento (V=0.568). La asfixia por suspensión representó el 28% del total de eventos y predomino en los suicidios consumados, sin embargo, el envenenamiento con otras sustancias representó el 33% y predominó en los intentos de suicidio. Demostrando que los métodos de mayor letalidad se asocian principalmente con desenlaces fatales. Al tener el análisis del seguimiento posterior a los intentos de suicidio se demostró que el 84% recibió algún tipo de seguimiento psicológico, pero solo un porcentaje reducido tuvo acceso a atención psiquiátrica especializada. Estos casos en la atención especializada demuestran la necesidad de fortalecer los servicios de salud mental en el área </w:t>
      </w:r>
      <w:proofErr w:type="spellStart"/>
      <w:r w:rsidRPr="00CE02C3">
        <w:rPr>
          <w:rFonts w:ascii="Arial" w:hAnsi="Arial" w:cs="Arial"/>
          <w:sz w:val="24"/>
          <w:szCs w:val="24"/>
        </w:rPr>
        <w:t>Ixil</w:t>
      </w:r>
      <w:proofErr w:type="spellEnd"/>
      <w:r w:rsidRPr="00CE02C3">
        <w:rPr>
          <w:rFonts w:ascii="Arial" w:hAnsi="Arial" w:cs="Arial"/>
          <w:sz w:val="24"/>
          <w:szCs w:val="24"/>
        </w:rPr>
        <w:t>.</w:t>
      </w:r>
    </w:p>
    <w:p w:rsidR="00CE02C3" w:rsidRPr="00CE02C3" w:rsidRDefault="00CE02C3" w:rsidP="00CE02C3">
      <w:pPr>
        <w:spacing w:line="360" w:lineRule="auto"/>
        <w:jc w:val="both"/>
        <w:rPr>
          <w:rFonts w:ascii="Arial" w:hAnsi="Arial" w:cs="Arial"/>
          <w:sz w:val="24"/>
          <w:szCs w:val="24"/>
        </w:rPr>
      </w:pPr>
      <w:r w:rsidRPr="00CE02C3">
        <w:rPr>
          <w:rFonts w:ascii="Arial" w:hAnsi="Arial" w:cs="Arial"/>
          <w:sz w:val="24"/>
          <w:szCs w:val="24"/>
        </w:rPr>
        <w:t xml:space="preserve">Con los resultados obtenidos se confirma que la conducta suicida en el área </w:t>
      </w:r>
      <w:proofErr w:type="spellStart"/>
      <w:r w:rsidRPr="00CE02C3">
        <w:rPr>
          <w:rFonts w:ascii="Arial" w:hAnsi="Arial" w:cs="Arial"/>
          <w:sz w:val="24"/>
          <w:szCs w:val="24"/>
        </w:rPr>
        <w:t>Ixil</w:t>
      </w:r>
      <w:proofErr w:type="spellEnd"/>
      <w:r w:rsidRPr="00CE02C3">
        <w:rPr>
          <w:rFonts w:ascii="Arial" w:hAnsi="Arial" w:cs="Arial"/>
          <w:sz w:val="24"/>
          <w:szCs w:val="24"/>
        </w:rPr>
        <w:t xml:space="preserve"> es el resultado de múltiples factores sociodemográficos, económicos, culturales y clínicos evidenciando una asociación estadísticamente significativa entre el sexo y el tipo de evento suicida; mediante la prueba de </w:t>
      </w:r>
      <w:proofErr w:type="spellStart"/>
      <w:r w:rsidRPr="00CE02C3">
        <w:rPr>
          <w:rFonts w:ascii="Arial" w:hAnsi="Arial" w:cs="Arial"/>
          <w:sz w:val="24"/>
          <w:szCs w:val="24"/>
        </w:rPr>
        <w:t>chi</w:t>
      </w:r>
      <w:proofErr w:type="spellEnd"/>
      <w:r w:rsidRPr="00CE02C3">
        <w:rPr>
          <w:rFonts w:ascii="Arial" w:hAnsi="Arial" w:cs="Arial"/>
          <w:sz w:val="24"/>
          <w:szCs w:val="24"/>
        </w:rPr>
        <w:t xml:space="preserve"> cuadrado de Pearson se obtuvo un valor de χ² = 18.6, con 6 grados de libertad y un valor de p = 0.004, donde se rechazó la hipótesis nula y aceptar la hipótesis de investigación, confirmando la asociación entre ambas variables, encontrando factores de riesgo sociodemográficos que significativamente se asocian a los casos de suicidios en la población del área </w:t>
      </w:r>
      <w:proofErr w:type="spellStart"/>
      <w:r w:rsidRPr="00CE02C3">
        <w:rPr>
          <w:rFonts w:ascii="Arial" w:hAnsi="Arial" w:cs="Arial"/>
          <w:sz w:val="24"/>
          <w:szCs w:val="24"/>
        </w:rPr>
        <w:t>Ixil</w:t>
      </w:r>
      <w:proofErr w:type="spellEnd"/>
      <w:r w:rsidRPr="00CE02C3">
        <w:rPr>
          <w:rFonts w:ascii="Arial" w:hAnsi="Arial" w:cs="Arial"/>
          <w:sz w:val="24"/>
          <w:szCs w:val="24"/>
        </w:rPr>
        <w:t xml:space="preserve"> representa el 93% en la población del grupo étnico </w:t>
      </w:r>
      <w:proofErr w:type="spellStart"/>
      <w:r w:rsidRPr="00CE02C3">
        <w:rPr>
          <w:rFonts w:ascii="Arial" w:hAnsi="Arial" w:cs="Arial"/>
          <w:sz w:val="24"/>
          <w:szCs w:val="24"/>
        </w:rPr>
        <w:t>Ixil</w:t>
      </w:r>
      <w:proofErr w:type="spellEnd"/>
      <w:r w:rsidRPr="00CE02C3">
        <w:rPr>
          <w:rFonts w:ascii="Arial" w:hAnsi="Arial" w:cs="Arial"/>
          <w:sz w:val="24"/>
          <w:szCs w:val="24"/>
        </w:rPr>
        <w:t xml:space="preserve">, el 78% provenientes del municipio de Santa María </w:t>
      </w:r>
      <w:proofErr w:type="spellStart"/>
      <w:r w:rsidRPr="00CE02C3">
        <w:rPr>
          <w:rFonts w:ascii="Arial" w:hAnsi="Arial" w:cs="Arial"/>
          <w:sz w:val="24"/>
          <w:szCs w:val="24"/>
        </w:rPr>
        <w:t>Nebaj</w:t>
      </w:r>
      <w:proofErr w:type="spellEnd"/>
      <w:r w:rsidRPr="00CE02C3">
        <w:rPr>
          <w:rFonts w:ascii="Arial" w:hAnsi="Arial" w:cs="Arial"/>
          <w:sz w:val="24"/>
          <w:szCs w:val="24"/>
        </w:rPr>
        <w:t>.</w:t>
      </w:r>
    </w:p>
    <w:p w:rsidR="00CE02C3" w:rsidRPr="007D3FFB" w:rsidRDefault="00CE02C3" w:rsidP="00CE02C3">
      <w:pPr>
        <w:spacing w:line="360" w:lineRule="auto"/>
        <w:jc w:val="both"/>
        <w:rPr>
          <w:rFonts w:ascii="Arial" w:hAnsi="Arial" w:cs="Arial"/>
          <w:sz w:val="24"/>
          <w:szCs w:val="24"/>
        </w:rPr>
      </w:pPr>
      <w:r w:rsidRPr="00CE02C3">
        <w:rPr>
          <w:rFonts w:ascii="Arial" w:hAnsi="Arial" w:cs="Arial"/>
          <w:sz w:val="24"/>
          <w:szCs w:val="24"/>
        </w:rPr>
        <w:t>El sexo masculino con el 73% de suicidios consumados, el grupo etario con el 54% corresponde a personas de 16 a 25 años, el 62% con área de vivienda en el área rural, el 51% sin escolaridad o con primaria incompleta, dentro de las profesiones más frecuentes con más del 60% de los casos corresponden a agricultores (23%), amas de casa (21%) y estudiantes (20%), en el 74% se identificaron la presencia de antecedentes personales o familiares de importancia para la investigación, en donde el consumo de alcohol fue el antecedente más frecuente en un 45% de los casos, seguido de problemas familiares.</w:t>
      </w:r>
    </w:p>
    <w:p w:rsidR="00A96E4A" w:rsidRPr="00A96E4A" w:rsidRDefault="007D3FFB" w:rsidP="007D3FFB">
      <w:pPr>
        <w:spacing w:line="360" w:lineRule="auto"/>
        <w:jc w:val="both"/>
        <w:rPr>
          <w:rFonts w:ascii="Arial" w:hAnsi="Arial" w:cs="Arial"/>
          <w:sz w:val="24"/>
          <w:szCs w:val="24"/>
        </w:rPr>
      </w:pPr>
      <w:r w:rsidRPr="007D3FFB">
        <w:rPr>
          <w:rFonts w:ascii="Arial" w:hAnsi="Arial" w:cs="Arial"/>
          <w:sz w:val="24"/>
          <w:szCs w:val="24"/>
        </w:rPr>
        <w:lastRenderedPageBreak/>
        <w:t xml:space="preserve">La interpretación de estos hallazgos adquiere especial relevancia en la región </w:t>
      </w:r>
      <w:proofErr w:type="spellStart"/>
      <w:r w:rsidRPr="007D3FFB">
        <w:rPr>
          <w:rFonts w:ascii="Arial" w:hAnsi="Arial" w:cs="Arial"/>
          <w:sz w:val="24"/>
          <w:szCs w:val="24"/>
        </w:rPr>
        <w:t>Ixil</w:t>
      </w:r>
      <w:proofErr w:type="spellEnd"/>
      <w:r w:rsidRPr="007D3FFB">
        <w:rPr>
          <w:rFonts w:ascii="Arial" w:hAnsi="Arial" w:cs="Arial"/>
          <w:sz w:val="24"/>
          <w:szCs w:val="24"/>
        </w:rPr>
        <w:t>, una población que experimentó algunas de las consecuencias más profundas del conflicto armado interno en Guatemala. Diversos autores han documentado que las secuelas del trauma colectivo, el desplazamiento forzado, la pérdida de redes comunitarias y la violencia histórica continúan ejerciendo efectos sobre la salud mental de generaciones posteriores. Aunque el presente estudio no evaluó directamente estas variables, el contexto histórico constituye un elemento indispensable para comprender la complejidad del fenómeno observado (Méndez, 2018).</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Otro aspecto importante es la limitada disponibilidad de servicios especializados de salud mental en áreas rurales. La evidencia nacional demuestra que persisten importantes dificultades relacionadas con el acceso geográfico, la disponibilidad de profesionales capacitados y la continuidad del tratamiento, situación que puede retrasar la identificación de personas en riesgo y limitar las intervenciones preventivas oportunas (Alonzo et al., 2022; Organización Panamericana de la Salud, 2025).</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Es importante destacar que el área de residencia no mostró una asociación estadísticamente significativa con la conducta suicida. Este resultado podría indicar que, dentro de la región </w:t>
      </w:r>
      <w:proofErr w:type="spellStart"/>
      <w:r w:rsidRPr="00A96E4A">
        <w:rPr>
          <w:rFonts w:ascii="Arial" w:hAnsi="Arial" w:cs="Arial"/>
          <w:sz w:val="24"/>
          <w:szCs w:val="24"/>
        </w:rPr>
        <w:t>Ixil</w:t>
      </w:r>
      <w:proofErr w:type="spellEnd"/>
      <w:r w:rsidRPr="00A96E4A">
        <w:rPr>
          <w:rFonts w:ascii="Arial" w:hAnsi="Arial" w:cs="Arial"/>
          <w:sz w:val="24"/>
          <w:szCs w:val="24"/>
        </w:rPr>
        <w:t>, otros determinantes sociales poseen un mayor peso relativo sobre la ocurrencia del fenómeno que la ubicación geográfica por sí sola. No obstante, futuras investigaciones deberán explorar con mayor profundidad el papel de variables como el nivel socioeconómico, la funcionalidad familiar, la violencia intrafamiliar</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Entre las principales fortalezas de esta investigación</w:t>
      </w:r>
      <w:r w:rsidR="007D3FFB">
        <w:rPr>
          <w:rFonts w:ascii="Arial" w:hAnsi="Arial" w:cs="Arial"/>
          <w:sz w:val="24"/>
          <w:szCs w:val="24"/>
        </w:rPr>
        <w:t xml:space="preserve"> </w:t>
      </w:r>
      <w:r w:rsidR="007D3FFB" w:rsidRPr="007D3FFB">
        <w:rPr>
          <w:rFonts w:ascii="Arial" w:hAnsi="Arial" w:cs="Arial"/>
          <w:sz w:val="24"/>
          <w:szCs w:val="24"/>
        </w:rPr>
        <w:t xml:space="preserve">destaca el análisis de una muestra de 891 registros, procedentes de múltiples fuentes institucionales, lo que permitió obtener una visión más amplia de la conducta suicida en la región </w:t>
      </w:r>
      <w:proofErr w:type="spellStart"/>
      <w:r w:rsidR="007D3FFB" w:rsidRPr="007D3FFB">
        <w:rPr>
          <w:rFonts w:ascii="Arial" w:hAnsi="Arial" w:cs="Arial"/>
          <w:sz w:val="24"/>
          <w:szCs w:val="24"/>
        </w:rPr>
        <w:t>Ixil</w:t>
      </w:r>
      <w:proofErr w:type="spellEnd"/>
      <w:r w:rsidR="007D3FFB" w:rsidRPr="007D3FFB">
        <w:rPr>
          <w:rFonts w:ascii="Arial" w:hAnsi="Arial" w:cs="Arial"/>
          <w:sz w:val="24"/>
          <w:szCs w:val="24"/>
        </w:rPr>
        <w:t xml:space="preserve"> durante un período de doce años. Asimismo, constituye uno de los primeros estudios analíticos realizados en esta población utilizando información epidemiológica regional.</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Sin embargo, el estudio presenta limitaciones inherentes a su diseño retrospectivo. La calidad del análisis dependió de la integridad de los registros disponibles, algunos de los cuales presentaban información incompleta. Además, la utilización de fuentes secundarias impidió evaluar variables clínicas y psicosociales potencialmente relevantes, como antecedentes psiquiátricos, consumo de sustancias, apoyo familiar o experiencias de violencia, factores que podrían influir en la conducta suicida.</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En conjunto, los resultados ponen de manifiesto la necesidad de fortalecer las políticas públicas orientadas a la prevención del suicidio desde un enfoque intercultural, promoviendo estrategias adaptadas a las características sociales, culturales y lingüísticas de la población </w:t>
      </w:r>
      <w:proofErr w:type="spellStart"/>
      <w:r w:rsidRPr="00A96E4A">
        <w:rPr>
          <w:rFonts w:ascii="Arial" w:hAnsi="Arial" w:cs="Arial"/>
          <w:sz w:val="24"/>
          <w:szCs w:val="24"/>
        </w:rPr>
        <w:t>Ixil</w:t>
      </w:r>
      <w:proofErr w:type="spellEnd"/>
      <w:r w:rsidRPr="00A96E4A">
        <w:rPr>
          <w:rFonts w:ascii="Arial" w:hAnsi="Arial" w:cs="Arial"/>
          <w:sz w:val="24"/>
          <w:szCs w:val="24"/>
        </w:rPr>
        <w:t>. La integración de programas comunitarios, el fortalecimiento de la atención primaria en salud mental y la capacitación continua del personal sanitario podrían contribuir a mejorar la detección temprana de personas en riesgo y reducir la carga de este problema de salud pública en la región.</w:t>
      </w:r>
    </w:p>
    <w:p w:rsidR="00A96E4A" w:rsidRPr="00A96E4A" w:rsidRDefault="00A96E4A" w:rsidP="00A96E4A">
      <w:pPr>
        <w:spacing w:line="360" w:lineRule="auto"/>
        <w:jc w:val="both"/>
        <w:rPr>
          <w:rFonts w:ascii="Arial" w:hAnsi="Arial" w:cs="Arial"/>
          <w:sz w:val="24"/>
          <w:szCs w:val="24"/>
        </w:rPr>
      </w:pPr>
    </w:p>
    <w:p w:rsidR="00A96E4A" w:rsidRPr="0063022F" w:rsidRDefault="0063022F" w:rsidP="00A96E4A">
      <w:pPr>
        <w:spacing w:line="360" w:lineRule="auto"/>
        <w:jc w:val="both"/>
        <w:rPr>
          <w:rFonts w:ascii="Arial" w:hAnsi="Arial" w:cs="Arial"/>
          <w:b/>
          <w:sz w:val="24"/>
          <w:szCs w:val="24"/>
        </w:rPr>
      </w:pPr>
      <w:r>
        <w:rPr>
          <w:rFonts w:ascii="Arial" w:hAnsi="Arial" w:cs="Arial"/>
          <w:b/>
          <w:sz w:val="24"/>
          <w:szCs w:val="24"/>
        </w:rPr>
        <w:t>CONCLUSIONES</w:t>
      </w:r>
    </w:p>
    <w:p w:rsidR="009B1D8F"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Los resultados del presente estudio demuestran que la conducta suicida en la región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se encuentra significativamente asociada con diversos factores sociodemográficos, entre ellos el sexo, la edad, el municipio de residencia, el nivel educativo, la ocupación, el grupo étnico y el estado civil. Estos hallazgos evidencian que el suicidio constituye un fenómeno multifactorial cuya comprensión requiere considerar tanto los determinantes individuales como el contexto social y cu</w:t>
      </w:r>
      <w:r w:rsidR="009B1D8F">
        <w:rPr>
          <w:rFonts w:ascii="Arial" w:hAnsi="Arial" w:cs="Arial"/>
          <w:sz w:val="24"/>
          <w:szCs w:val="24"/>
        </w:rPr>
        <w:t>ltural en el que se desarrolla.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La ocupación y el grupo étnico fueron las variables que presentaron las asociaciones de mayor magnitud, lo que pone de manifiesto la influencia de las condiciones socioeconómicas y de las desigualdades estructurales sobre la conducta suicida en la región </w:t>
      </w:r>
      <w:proofErr w:type="spellStart"/>
      <w:r w:rsidRPr="00A96E4A">
        <w:rPr>
          <w:rFonts w:ascii="Arial" w:hAnsi="Arial" w:cs="Arial"/>
          <w:sz w:val="24"/>
          <w:szCs w:val="24"/>
        </w:rPr>
        <w:t>Ixil</w:t>
      </w:r>
      <w:proofErr w:type="spellEnd"/>
      <w:r w:rsidRPr="00A96E4A">
        <w:rPr>
          <w:rFonts w:ascii="Arial" w:hAnsi="Arial" w:cs="Arial"/>
          <w:sz w:val="24"/>
          <w:szCs w:val="24"/>
        </w:rPr>
        <w:t>. Asimismo, la elevada frecuencia de casos en adolescentes y adultos jóvenes resalta la necesidad de fortalecer las estrategias de prevención dirigida</w:t>
      </w:r>
      <w:r w:rsidR="0063022F">
        <w:rPr>
          <w:rFonts w:ascii="Arial" w:hAnsi="Arial" w:cs="Arial"/>
          <w:sz w:val="24"/>
          <w:szCs w:val="24"/>
        </w:rPr>
        <w:t>s a estos grupos poblacionales.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 xml:space="preserve">Finalmente, los resultados obtenidos aportan evidencia epidemiológica local que puede contribuir al diseño de políticas públicas e intervenciones preventivas culturalmente pertinentes. El fortalecimiento de la atención primaria en salud mental, la capacitación continua del personal sanitario y el desarrollo de programas comunitarios adaptados a la realidad sociocultural de la población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constituyen acciones prioritarias para reducir la carga del suicidio en esta región.</w:t>
      </w:r>
    </w:p>
    <w:p w:rsidR="00A96E4A" w:rsidRPr="00A96E4A" w:rsidRDefault="00A96E4A" w:rsidP="00A96E4A">
      <w:pPr>
        <w:spacing w:line="360" w:lineRule="auto"/>
        <w:jc w:val="both"/>
        <w:rPr>
          <w:rFonts w:ascii="Arial" w:hAnsi="Arial" w:cs="Arial"/>
          <w:sz w:val="24"/>
          <w:szCs w:val="24"/>
        </w:rPr>
      </w:pPr>
    </w:p>
    <w:p w:rsidR="00A96E4A" w:rsidRPr="0063022F" w:rsidRDefault="0063022F" w:rsidP="00A96E4A">
      <w:pPr>
        <w:spacing w:line="360" w:lineRule="auto"/>
        <w:jc w:val="both"/>
        <w:rPr>
          <w:rFonts w:ascii="Arial" w:hAnsi="Arial" w:cs="Arial"/>
          <w:b/>
          <w:sz w:val="24"/>
          <w:szCs w:val="24"/>
        </w:rPr>
      </w:pPr>
      <w:r>
        <w:rPr>
          <w:rFonts w:ascii="Arial" w:hAnsi="Arial" w:cs="Arial"/>
          <w:b/>
          <w:sz w:val="24"/>
          <w:szCs w:val="24"/>
        </w:rPr>
        <w:t>LIMITACIONES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El presente estudio presenta limitaciones inherentes a su diseño retrospectivo y al uso de fuentes secundarias de información. La calidad del análisis dependió de la integridad y precisión de los registros disponibles, por lo que algunos casos pres</w:t>
      </w:r>
      <w:r w:rsidR="0063022F">
        <w:rPr>
          <w:rFonts w:ascii="Arial" w:hAnsi="Arial" w:cs="Arial"/>
          <w:sz w:val="24"/>
          <w:szCs w:val="24"/>
        </w:rPr>
        <w:t>entaron información incompleta.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Además, no fue posible evaluar variables potencialmente relevantes como antecedentes psiquiátricos, consumo de sustancias psicoactivas, violencia intrafamiliar, funcionalidad familiar, apoyo social, creencias religiosas o experiencias traumáticas, factores que podrían </w:t>
      </w:r>
      <w:r w:rsidR="0063022F">
        <w:rPr>
          <w:rFonts w:ascii="Arial" w:hAnsi="Arial" w:cs="Arial"/>
          <w:sz w:val="24"/>
          <w:szCs w:val="24"/>
        </w:rPr>
        <w:t>influir en la conducta suicida.</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Por otra parte, debido al diseño observacional del estudio, los resultados permiten identificar asociaciones estadísticas entre las variables analizadas, pero no establecer relaciones de causalidad.</w:t>
      </w:r>
    </w:p>
    <w:p w:rsidR="00A96E4A" w:rsidRPr="00A96E4A" w:rsidRDefault="00A96E4A" w:rsidP="00A96E4A">
      <w:pPr>
        <w:spacing w:line="360" w:lineRule="auto"/>
        <w:jc w:val="both"/>
        <w:rPr>
          <w:rFonts w:ascii="Arial" w:hAnsi="Arial" w:cs="Arial"/>
          <w:sz w:val="24"/>
          <w:szCs w:val="24"/>
        </w:rPr>
      </w:pPr>
    </w:p>
    <w:p w:rsidR="00A96E4A" w:rsidRPr="0063022F" w:rsidRDefault="0063022F" w:rsidP="00A96E4A">
      <w:pPr>
        <w:spacing w:line="360" w:lineRule="auto"/>
        <w:jc w:val="both"/>
        <w:rPr>
          <w:rFonts w:ascii="Arial" w:hAnsi="Arial" w:cs="Arial"/>
          <w:b/>
          <w:sz w:val="24"/>
          <w:szCs w:val="24"/>
        </w:rPr>
      </w:pPr>
      <w:r>
        <w:rPr>
          <w:rFonts w:ascii="Arial" w:hAnsi="Arial" w:cs="Arial"/>
          <w:b/>
          <w:sz w:val="24"/>
          <w:szCs w:val="24"/>
        </w:rPr>
        <w:t>FORTALEZAS DEL ESTUDIO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Entre las principales fortalezas de esta investigación destaca el análisis de una muestra de 891 registros, obtenidos a partir de tres fuentes institucionales oficiales, lo que permitió disponer de una visión integral de la conducta suicida en la región </w:t>
      </w:r>
      <w:proofErr w:type="spellStart"/>
      <w:r w:rsidRPr="00A96E4A">
        <w:rPr>
          <w:rFonts w:ascii="Arial" w:hAnsi="Arial" w:cs="Arial"/>
          <w:sz w:val="24"/>
          <w:szCs w:val="24"/>
        </w:rPr>
        <w:t>Ixil</w:t>
      </w:r>
      <w:proofErr w:type="spellEnd"/>
      <w:r w:rsidRPr="00A96E4A">
        <w:rPr>
          <w:rFonts w:ascii="Arial" w:hAnsi="Arial" w:cs="Arial"/>
          <w:sz w:val="24"/>
          <w:szCs w:val="24"/>
        </w:rPr>
        <w:t xml:space="preserve"> durante un periodo de doce años.</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lastRenderedPageBreak/>
        <w:t xml:space="preserve">Asimismo, este estudio constituye uno de los primeros análisis epidemiológicos desarrollados específicamente en población indígena maya </w:t>
      </w:r>
      <w:proofErr w:type="spellStart"/>
      <w:r w:rsidRPr="00A96E4A">
        <w:rPr>
          <w:rFonts w:ascii="Arial" w:hAnsi="Arial" w:cs="Arial"/>
          <w:sz w:val="24"/>
          <w:szCs w:val="24"/>
        </w:rPr>
        <w:t>Ixil</w:t>
      </w:r>
      <w:proofErr w:type="spellEnd"/>
      <w:r w:rsidRPr="00A96E4A">
        <w:rPr>
          <w:rFonts w:ascii="Arial" w:hAnsi="Arial" w:cs="Arial"/>
          <w:sz w:val="24"/>
          <w:szCs w:val="24"/>
        </w:rPr>
        <w:t xml:space="preserve"> utilizando información regional, aportando evidencia científica útil para la planificación de estrategias de prevención en un contexto con escasa producción científica.</w:t>
      </w:r>
    </w:p>
    <w:p w:rsidR="00A96E4A" w:rsidRPr="00A96E4A" w:rsidRDefault="00A96E4A" w:rsidP="00A96E4A">
      <w:pPr>
        <w:spacing w:line="360" w:lineRule="auto"/>
        <w:jc w:val="both"/>
        <w:rPr>
          <w:rFonts w:ascii="Arial" w:hAnsi="Arial" w:cs="Arial"/>
          <w:sz w:val="24"/>
          <w:szCs w:val="24"/>
        </w:rPr>
      </w:pPr>
    </w:p>
    <w:p w:rsidR="00A96E4A" w:rsidRPr="0063022F" w:rsidRDefault="0063022F" w:rsidP="00A96E4A">
      <w:pPr>
        <w:spacing w:line="360" w:lineRule="auto"/>
        <w:jc w:val="both"/>
        <w:rPr>
          <w:rFonts w:ascii="Arial" w:hAnsi="Arial" w:cs="Arial"/>
          <w:b/>
          <w:sz w:val="24"/>
          <w:szCs w:val="24"/>
        </w:rPr>
      </w:pPr>
      <w:r>
        <w:rPr>
          <w:rFonts w:ascii="Arial" w:hAnsi="Arial" w:cs="Arial"/>
          <w:b/>
          <w:sz w:val="24"/>
          <w:szCs w:val="24"/>
        </w:rPr>
        <w:t>RECOMENDACIONES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Con base en los resultados obtenidos, se recomienda fortalecer los programas de prevención del suicidio mediante un enfoque integral e intercultural que considere las características sociales, culturales y lin</w:t>
      </w:r>
      <w:r w:rsidR="0063022F">
        <w:rPr>
          <w:rFonts w:ascii="Arial" w:hAnsi="Arial" w:cs="Arial"/>
          <w:sz w:val="24"/>
          <w:szCs w:val="24"/>
        </w:rPr>
        <w:t xml:space="preserve">güísticas de la población </w:t>
      </w:r>
      <w:proofErr w:type="spellStart"/>
      <w:r w:rsidR="0063022F">
        <w:rPr>
          <w:rFonts w:ascii="Arial" w:hAnsi="Arial" w:cs="Arial"/>
          <w:sz w:val="24"/>
          <w:szCs w:val="24"/>
        </w:rPr>
        <w:t>Ixil</w:t>
      </w:r>
      <w:proofErr w:type="spellEnd"/>
      <w:r w:rsidR="0063022F">
        <w:rPr>
          <w:rFonts w:ascii="Arial" w:hAnsi="Arial" w:cs="Arial"/>
          <w:sz w:val="24"/>
          <w:szCs w:val="24"/>
        </w:rPr>
        <w:t>.</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Es prioritario ampliar la cobertura de los servicios de salud mental en la atención primaria, fortalecer la capacitación del personal sanitario para la identificación temprana de personas en riesgo y promover la coordinación entre los servicios de salud, las instituciones educativas y los líderes co</w:t>
      </w:r>
      <w:r w:rsidR="0063022F">
        <w:rPr>
          <w:rFonts w:ascii="Arial" w:hAnsi="Arial" w:cs="Arial"/>
          <w:sz w:val="24"/>
          <w:szCs w:val="24"/>
        </w:rPr>
        <w:t>munitarios.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Asimismo, se recomienda desarrollar investigaciones prospectivas que incorporen variables clínicas, psicológicas y familiares, con el propósito de comprender de manera más amplia los determinantes de la conducta suicida y orientar intervenciones preventivas basadas en evidencia científica.</w:t>
      </w:r>
    </w:p>
    <w:p w:rsidR="00A96E4A" w:rsidRPr="00A96E4A" w:rsidRDefault="00A96E4A" w:rsidP="00A96E4A">
      <w:pPr>
        <w:spacing w:line="360" w:lineRule="auto"/>
        <w:jc w:val="both"/>
        <w:rPr>
          <w:rFonts w:ascii="Arial" w:hAnsi="Arial" w:cs="Arial"/>
          <w:sz w:val="24"/>
          <w:szCs w:val="24"/>
        </w:rPr>
      </w:pPr>
    </w:p>
    <w:p w:rsidR="00A96E4A" w:rsidRPr="0063022F" w:rsidRDefault="0063022F" w:rsidP="00A96E4A">
      <w:pPr>
        <w:spacing w:line="360" w:lineRule="auto"/>
        <w:jc w:val="both"/>
        <w:rPr>
          <w:rFonts w:ascii="Arial" w:hAnsi="Arial" w:cs="Arial"/>
          <w:b/>
          <w:sz w:val="24"/>
          <w:szCs w:val="24"/>
        </w:rPr>
      </w:pPr>
      <w:r>
        <w:rPr>
          <w:rFonts w:ascii="Arial" w:hAnsi="Arial" w:cs="Arial"/>
          <w:b/>
          <w:sz w:val="24"/>
          <w:szCs w:val="24"/>
        </w:rPr>
        <w:t>CONFLICTO DE INTERESES</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Los autores declaran que no existe ningún conflicto de intereses relacionado con la realización del presente estudio.</w:t>
      </w:r>
    </w:p>
    <w:p w:rsidR="00A96E4A" w:rsidRPr="00A96E4A" w:rsidRDefault="00A96E4A" w:rsidP="00A96E4A">
      <w:pPr>
        <w:spacing w:line="360" w:lineRule="auto"/>
        <w:jc w:val="both"/>
        <w:rPr>
          <w:rFonts w:ascii="Arial" w:hAnsi="Arial" w:cs="Arial"/>
          <w:sz w:val="24"/>
          <w:szCs w:val="24"/>
        </w:rPr>
      </w:pPr>
    </w:p>
    <w:p w:rsidR="00A96E4A" w:rsidRPr="009B1D8F" w:rsidRDefault="00A96E4A" w:rsidP="00A96E4A">
      <w:pPr>
        <w:spacing w:line="360" w:lineRule="auto"/>
        <w:jc w:val="both"/>
        <w:rPr>
          <w:rFonts w:ascii="Arial" w:hAnsi="Arial" w:cs="Arial"/>
          <w:b/>
          <w:sz w:val="24"/>
          <w:szCs w:val="24"/>
        </w:rPr>
      </w:pPr>
      <w:r w:rsidRPr="009B1D8F">
        <w:rPr>
          <w:rFonts w:ascii="Arial" w:hAnsi="Arial" w:cs="Arial"/>
          <w:b/>
          <w:sz w:val="24"/>
          <w:szCs w:val="24"/>
        </w:rPr>
        <w:t>FINANCIAMIENTO</w:t>
      </w: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La presente investigación fue desarrollada como parte del trabajo de graduación para optar al título de Médico y Cirujano del Centro Universitario de Occidente, Universidad de San Carlos de Guatemala, y fue realizada con recursos propios de los investigadores.</w:t>
      </w:r>
    </w:p>
    <w:p w:rsidR="00A96E4A" w:rsidRPr="00A96E4A" w:rsidRDefault="00A96E4A" w:rsidP="00A96E4A">
      <w:pPr>
        <w:spacing w:line="360" w:lineRule="auto"/>
        <w:jc w:val="both"/>
        <w:rPr>
          <w:rFonts w:ascii="Arial" w:hAnsi="Arial" w:cs="Arial"/>
          <w:sz w:val="24"/>
          <w:szCs w:val="24"/>
        </w:rPr>
      </w:pPr>
    </w:p>
    <w:p w:rsidR="00A96E4A" w:rsidRPr="009B1D8F" w:rsidRDefault="00A96E4A" w:rsidP="00A96E4A">
      <w:pPr>
        <w:spacing w:line="360" w:lineRule="auto"/>
        <w:jc w:val="both"/>
        <w:rPr>
          <w:rFonts w:ascii="Arial" w:hAnsi="Arial" w:cs="Arial"/>
          <w:b/>
          <w:sz w:val="24"/>
          <w:szCs w:val="24"/>
        </w:rPr>
      </w:pPr>
      <w:r w:rsidRPr="009B1D8F">
        <w:rPr>
          <w:rFonts w:ascii="Arial" w:hAnsi="Arial" w:cs="Arial"/>
          <w:b/>
          <w:sz w:val="24"/>
          <w:szCs w:val="24"/>
        </w:rPr>
        <w:lastRenderedPageBreak/>
        <w:t>AGRADECIMIENTOS</w:t>
      </w:r>
    </w:p>
    <w:p w:rsidR="00A96E4A" w:rsidRPr="00A96E4A" w:rsidRDefault="00A96E4A" w:rsidP="00A96E4A">
      <w:pPr>
        <w:spacing w:line="360" w:lineRule="auto"/>
        <w:jc w:val="both"/>
        <w:rPr>
          <w:rFonts w:ascii="Arial" w:hAnsi="Arial" w:cs="Arial"/>
          <w:sz w:val="24"/>
          <w:szCs w:val="24"/>
        </w:rPr>
      </w:pPr>
    </w:p>
    <w:p w:rsidR="00A96E4A" w:rsidRPr="00A96E4A" w:rsidRDefault="00A96E4A" w:rsidP="00A96E4A">
      <w:pPr>
        <w:spacing w:line="360" w:lineRule="auto"/>
        <w:jc w:val="both"/>
        <w:rPr>
          <w:rFonts w:ascii="Arial" w:hAnsi="Arial" w:cs="Arial"/>
          <w:sz w:val="24"/>
          <w:szCs w:val="24"/>
        </w:rPr>
      </w:pPr>
      <w:r w:rsidRPr="00A96E4A">
        <w:rPr>
          <w:rFonts w:ascii="Arial" w:hAnsi="Arial" w:cs="Arial"/>
          <w:sz w:val="24"/>
          <w:szCs w:val="24"/>
        </w:rPr>
        <w:t xml:space="preserve">Los autores expresan su agradecimiento a la Dirección de Redes Integradas e Integrales de Servicios de Salud del Área </w:t>
      </w:r>
      <w:proofErr w:type="spellStart"/>
      <w:r w:rsidRPr="00A96E4A">
        <w:rPr>
          <w:rFonts w:ascii="Arial" w:hAnsi="Arial" w:cs="Arial"/>
          <w:sz w:val="24"/>
          <w:szCs w:val="24"/>
        </w:rPr>
        <w:t>Ixil</w:t>
      </w:r>
      <w:proofErr w:type="spellEnd"/>
      <w:r w:rsidRPr="00A96E4A">
        <w:rPr>
          <w:rFonts w:ascii="Arial" w:hAnsi="Arial" w:cs="Arial"/>
          <w:sz w:val="24"/>
          <w:szCs w:val="24"/>
        </w:rPr>
        <w:t xml:space="preserve">, al Hospital Nacional de </w:t>
      </w:r>
      <w:proofErr w:type="spellStart"/>
      <w:r w:rsidRPr="00A96E4A">
        <w:rPr>
          <w:rFonts w:ascii="Arial" w:hAnsi="Arial" w:cs="Arial"/>
          <w:sz w:val="24"/>
          <w:szCs w:val="24"/>
        </w:rPr>
        <w:t>Nebaj</w:t>
      </w:r>
      <w:proofErr w:type="spellEnd"/>
      <w:r w:rsidRPr="00A96E4A">
        <w:rPr>
          <w:rFonts w:ascii="Arial" w:hAnsi="Arial" w:cs="Arial"/>
          <w:sz w:val="24"/>
          <w:szCs w:val="24"/>
        </w:rPr>
        <w:t xml:space="preserve"> y al Registro Nacional de las Personas por facilitar el acceso a la información utilizada en esta investigación.</w:t>
      </w:r>
    </w:p>
    <w:p w:rsidR="00A96E4A" w:rsidRPr="00A96E4A" w:rsidRDefault="00A96E4A" w:rsidP="00A96E4A">
      <w:pPr>
        <w:spacing w:line="360" w:lineRule="auto"/>
        <w:jc w:val="both"/>
        <w:rPr>
          <w:rFonts w:ascii="Arial" w:hAnsi="Arial" w:cs="Arial"/>
          <w:sz w:val="24"/>
          <w:szCs w:val="24"/>
        </w:rPr>
      </w:pPr>
    </w:p>
    <w:p w:rsidR="00A96E4A" w:rsidRDefault="00A96E4A" w:rsidP="00A96E4A">
      <w:pPr>
        <w:spacing w:line="360" w:lineRule="auto"/>
        <w:jc w:val="both"/>
        <w:rPr>
          <w:rFonts w:ascii="Arial" w:hAnsi="Arial" w:cs="Arial"/>
          <w:sz w:val="24"/>
          <w:szCs w:val="24"/>
        </w:rPr>
      </w:pPr>
      <w:r w:rsidRPr="00A96E4A">
        <w:rPr>
          <w:rFonts w:ascii="Arial" w:hAnsi="Arial" w:cs="Arial"/>
          <w:sz w:val="24"/>
          <w:szCs w:val="24"/>
        </w:rPr>
        <w:t>Asimismo, agradecen al Centro Universitario de Occidente de la Universidad de San Carlos de Guatemala por el acompañamiento académico durante el desarrollo del estudio y a todas las instituciones que contribuyeron al fortalecimiento de la investigación científica en la región.</w:t>
      </w:r>
    </w:p>
    <w:p w:rsidR="00A96E4A" w:rsidRDefault="00A96E4A" w:rsidP="00A96E4A">
      <w:pPr>
        <w:spacing w:line="360" w:lineRule="auto"/>
        <w:jc w:val="both"/>
        <w:rPr>
          <w:rFonts w:ascii="Arial" w:hAnsi="Arial" w:cs="Arial"/>
          <w:sz w:val="24"/>
          <w:szCs w:val="24"/>
        </w:rPr>
      </w:pPr>
    </w:p>
    <w:p w:rsidR="00AB02A6" w:rsidRPr="00AB02A6" w:rsidRDefault="00EB5766" w:rsidP="00AB02A6">
      <w:pPr>
        <w:spacing w:line="360" w:lineRule="auto"/>
        <w:jc w:val="both"/>
        <w:rPr>
          <w:rFonts w:ascii="Arial" w:hAnsi="Arial" w:cs="Arial"/>
          <w:b/>
          <w:sz w:val="24"/>
          <w:szCs w:val="24"/>
        </w:rPr>
      </w:pPr>
      <w:r w:rsidRPr="00AB02A6">
        <w:rPr>
          <w:rFonts w:ascii="Arial" w:hAnsi="Arial" w:cs="Arial"/>
          <w:b/>
          <w:sz w:val="24"/>
          <w:szCs w:val="24"/>
        </w:rPr>
        <w:t xml:space="preserve">BIBLIOGRAFÍA </w:t>
      </w:r>
    </w:p>
    <w:p w:rsidR="00AB02A6" w:rsidRPr="00AB02A6" w:rsidRDefault="00AB02A6" w:rsidP="00AB02A6">
      <w:pPr>
        <w:spacing w:line="360" w:lineRule="auto"/>
        <w:jc w:val="both"/>
        <w:rPr>
          <w:rFonts w:ascii="Arial" w:hAnsi="Arial" w:cs="Arial"/>
          <w:sz w:val="24"/>
          <w:szCs w:val="24"/>
          <w:lang w:val="en-US"/>
        </w:rPr>
      </w:pPr>
      <w:r w:rsidRPr="00AB02A6">
        <w:rPr>
          <w:rFonts w:ascii="Arial" w:hAnsi="Arial" w:cs="Arial"/>
          <w:sz w:val="24"/>
          <w:szCs w:val="24"/>
        </w:rPr>
        <w:t xml:space="preserve">Alonzo, D., </w:t>
      </w:r>
      <w:proofErr w:type="spellStart"/>
      <w:r w:rsidRPr="00AB02A6">
        <w:rPr>
          <w:rFonts w:ascii="Arial" w:hAnsi="Arial" w:cs="Arial"/>
          <w:sz w:val="24"/>
          <w:szCs w:val="24"/>
        </w:rPr>
        <w:t>Popescu</w:t>
      </w:r>
      <w:proofErr w:type="spellEnd"/>
      <w:r w:rsidRPr="00AB02A6">
        <w:rPr>
          <w:rFonts w:ascii="Arial" w:hAnsi="Arial" w:cs="Arial"/>
          <w:sz w:val="24"/>
          <w:szCs w:val="24"/>
        </w:rPr>
        <w:t xml:space="preserve">, M., &amp; </w:t>
      </w:r>
      <w:proofErr w:type="spellStart"/>
      <w:r w:rsidRPr="00AB02A6">
        <w:rPr>
          <w:rFonts w:ascii="Arial" w:hAnsi="Arial" w:cs="Arial"/>
          <w:sz w:val="24"/>
          <w:szCs w:val="24"/>
        </w:rPr>
        <w:t>Zubaroglu-Ioannides</w:t>
      </w:r>
      <w:proofErr w:type="spellEnd"/>
      <w:r w:rsidRPr="00AB02A6">
        <w:rPr>
          <w:rFonts w:ascii="Arial" w:hAnsi="Arial" w:cs="Arial"/>
          <w:sz w:val="24"/>
          <w:szCs w:val="24"/>
        </w:rPr>
        <w:t xml:space="preserve">, P. (2022). </w:t>
      </w:r>
      <w:r w:rsidRPr="00AB02A6">
        <w:rPr>
          <w:rFonts w:ascii="Arial" w:hAnsi="Arial" w:cs="Arial"/>
          <w:sz w:val="24"/>
          <w:szCs w:val="24"/>
          <w:lang w:val="en-US"/>
        </w:rPr>
        <w:t>Effects of brief training on mental health providers' knowledge of working with youth at risk of suicide in Guatemala. International Journal of Social Psychiatry, 68(2), 281–287. https://doi.org/10.1177/0020764020983860</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lang w:val="en-US"/>
        </w:rPr>
        <w:t xml:space="preserve">Banco Mundial. </w:t>
      </w:r>
      <w:r w:rsidRPr="00AB02A6">
        <w:rPr>
          <w:rFonts w:ascii="Arial" w:hAnsi="Arial" w:cs="Arial"/>
          <w:sz w:val="24"/>
          <w:szCs w:val="24"/>
        </w:rPr>
        <w:t>(2021). Tasa de mortalidad por suicidio (por cada 100 000 habitantes): Guatemala. https://datos.bancomundial.org/indicator/SH.STA.SUIC.P5</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Campillo, C., &amp; García, F. G. (2021). Prevención del suicidio y la conducta suicida. Gaceta Médica de México, 157. https://doi.org/10.24875/GMM.21000205</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Chajón</w:t>
      </w:r>
      <w:proofErr w:type="spellEnd"/>
      <w:r w:rsidRPr="00AB02A6">
        <w:rPr>
          <w:rFonts w:ascii="Arial" w:hAnsi="Arial" w:cs="Arial"/>
          <w:sz w:val="24"/>
          <w:szCs w:val="24"/>
        </w:rPr>
        <w:t xml:space="preserve">, S. (2025). Una consideración de los factores que contribuyen al suicidio indígena en Guatemala: estudio de caso cualitativo en </w:t>
      </w:r>
      <w:proofErr w:type="spellStart"/>
      <w:r w:rsidRPr="00AB02A6">
        <w:rPr>
          <w:rFonts w:ascii="Arial" w:hAnsi="Arial" w:cs="Arial"/>
          <w:sz w:val="24"/>
          <w:szCs w:val="24"/>
        </w:rPr>
        <w:t>Nebaj</w:t>
      </w:r>
      <w:proofErr w:type="spellEnd"/>
      <w:r w:rsidRPr="00AB02A6">
        <w:rPr>
          <w:rFonts w:ascii="Arial" w:hAnsi="Arial" w:cs="Arial"/>
          <w:sz w:val="24"/>
          <w:szCs w:val="24"/>
        </w:rPr>
        <w:t>, Quiché. Razón Crítica.</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Cordoví</w:t>
      </w:r>
      <w:proofErr w:type="spellEnd"/>
      <w:r w:rsidRPr="00AB02A6">
        <w:rPr>
          <w:rFonts w:ascii="Arial" w:hAnsi="Arial" w:cs="Arial"/>
          <w:sz w:val="24"/>
          <w:szCs w:val="24"/>
        </w:rPr>
        <w:t xml:space="preserve">, A. T., Montes, Y. E., Batista, T. C., &amp; Pérez, Y. Y. S. (2021). Factores de riesgo asociados a intento suicida en adolescentes. </w:t>
      </w:r>
      <w:proofErr w:type="spellStart"/>
      <w:r w:rsidRPr="00AB02A6">
        <w:rPr>
          <w:rFonts w:ascii="Arial" w:hAnsi="Arial" w:cs="Arial"/>
          <w:sz w:val="24"/>
          <w:szCs w:val="24"/>
        </w:rPr>
        <w:t>Multimed</w:t>
      </w:r>
      <w:proofErr w:type="spellEnd"/>
      <w:r w:rsidRPr="00AB02A6">
        <w:rPr>
          <w:rFonts w:ascii="Arial" w:hAnsi="Arial" w:cs="Arial"/>
          <w:sz w:val="24"/>
          <w:szCs w:val="24"/>
        </w:rPr>
        <w:t>, 25(3).</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 xml:space="preserve">Cruz, C. E., Lara, E., &amp; Ramírez, B. (2018). Gestión </w:t>
      </w:r>
      <w:proofErr w:type="spellStart"/>
      <w:r w:rsidRPr="00AB02A6">
        <w:rPr>
          <w:rFonts w:ascii="Arial" w:hAnsi="Arial" w:cs="Arial"/>
          <w:sz w:val="24"/>
          <w:szCs w:val="24"/>
        </w:rPr>
        <w:t>socioambiental</w:t>
      </w:r>
      <w:proofErr w:type="spellEnd"/>
      <w:r w:rsidRPr="00AB02A6">
        <w:rPr>
          <w:rFonts w:ascii="Arial" w:hAnsi="Arial" w:cs="Arial"/>
          <w:sz w:val="24"/>
          <w:szCs w:val="24"/>
        </w:rPr>
        <w:t xml:space="preserve"> sustentable en la comunidad </w:t>
      </w:r>
      <w:proofErr w:type="spellStart"/>
      <w:r w:rsidRPr="00AB02A6">
        <w:rPr>
          <w:rFonts w:ascii="Arial" w:hAnsi="Arial" w:cs="Arial"/>
          <w:sz w:val="24"/>
          <w:szCs w:val="24"/>
        </w:rPr>
        <w:t>Ixil</w:t>
      </w:r>
      <w:proofErr w:type="spellEnd"/>
      <w:r w:rsidRPr="00AB02A6">
        <w:rPr>
          <w:rFonts w:ascii="Arial" w:hAnsi="Arial" w:cs="Arial"/>
          <w:sz w:val="24"/>
          <w:szCs w:val="24"/>
        </w:rPr>
        <w:t xml:space="preserve"> de </w:t>
      </w:r>
      <w:proofErr w:type="spellStart"/>
      <w:r w:rsidRPr="00AB02A6">
        <w:rPr>
          <w:rFonts w:ascii="Arial" w:hAnsi="Arial" w:cs="Arial"/>
          <w:sz w:val="24"/>
          <w:szCs w:val="24"/>
        </w:rPr>
        <w:t>Chel</w:t>
      </w:r>
      <w:proofErr w:type="spellEnd"/>
      <w:r w:rsidRPr="00AB02A6">
        <w:rPr>
          <w:rFonts w:ascii="Arial" w:hAnsi="Arial" w:cs="Arial"/>
          <w:sz w:val="24"/>
          <w:szCs w:val="24"/>
        </w:rPr>
        <w:t xml:space="preserve">, </w:t>
      </w:r>
      <w:proofErr w:type="spellStart"/>
      <w:r w:rsidRPr="00AB02A6">
        <w:rPr>
          <w:rFonts w:ascii="Arial" w:hAnsi="Arial" w:cs="Arial"/>
          <w:sz w:val="24"/>
          <w:szCs w:val="24"/>
        </w:rPr>
        <w:t>Chajul</w:t>
      </w:r>
      <w:proofErr w:type="spellEnd"/>
      <w:r w:rsidRPr="00AB02A6">
        <w:rPr>
          <w:rFonts w:ascii="Arial" w:hAnsi="Arial" w:cs="Arial"/>
          <w:sz w:val="24"/>
          <w:szCs w:val="24"/>
        </w:rPr>
        <w:t>, El Quiché, Guatemala. Economía y Sociedad, 23(53). https://doi.org/10.15359/eys.23-53.6</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lastRenderedPageBreak/>
        <w:t>García-Haro, J., et al. (2020). Suicidio y trastorno mental: una crítica necesaria. Papeles del Psicólogo, 41(1).</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Gelder</w:t>
      </w:r>
      <w:proofErr w:type="spellEnd"/>
      <w:r w:rsidRPr="00AB02A6">
        <w:rPr>
          <w:rFonts w:ascii="Arial" w:hAnsi="Arial" w:cs="Arial"/>
          <w:sz w:val="24"/>
          <w:szCs w:val="24"/>
        </w:rPr>
        <w:t xml:space="preserve">, M., </w:t>
      </w:r>
      <w:proofErr w:type="spellStart"/>
      <w:r w:rsidRPr="00AB02A6">
        <w:rPr>
          <w:rFonts w:ascii="Arial" w:hAnsi="Arial" w:cs="Arial"/>
          <w:sz w:val="24"/>
          <w:szCs w:val="24"/>
        </w:rPr>
        <w:t>Andreasen</w:t>
      </w:r>
      <w:proofErr w:type="spellEnd"/>
      <w:r w:rsidRPr="00AB02A6">
        <w:rPr>
          <w:rFonts w:ascii="Arial" w:hAnsi="Arial" w:cs="Arial"/>
          <w:sz w:val="24"/>
          <w:szCs w:val="24"/>
        </w:rPr>
        <w:t xml:space="preserve">, N., López-Ibor, J., &amp; </w:t>
      </w:r>
      <w:proofErr w:type="spellStart"/>
      <w:r w:rsidRPr="00AB02A6">
        <w:rPr>
          <w:rFonts w:ascii="Arial" w:hAnsi="Arial" w:cs="Arial"/>
          <w:sz w:val="24"/>
          <w:szCs w:val="24"/>
        </w:rPr>
        <w:t>Geddes</w:t>
      </w:r>
      <w:proofErr w:type="spellEnd"/>
      <w:r w:rsidRPr="00AB02A6">
        <w:rPr>
          <w:rFonts w:ascii="Arial" w:hAnsi="Arial" w:cs="Arial"/>
          <w:sz w:val="24"/>
          <w:szCs w:val="24"/>
        </w:rPr>
        <w:t xml:space="preserve">, J. (2020). </w:t>
      </w:r>
      <w:r w:rsidRPr="00AB02A6">
        <w:rPr>
          <w:rFonts w:ascii="Arial" w:hAnsi="Arial" w:cs="Arial"/>
          <w:sz w:val="24"/>
          <w:szCs w:val="24"/>
          <w:lang w:val="en-US"/>
        </w:rPr>
        <w:t xml:space="preserve">Oxford Textbook of Psychiatry (7th ed.). </w:t>
      </w:r>
      <w:r w:rsidRPr="00AB02A6">
        <w:rPr>
          <w:rFonts w:ascii="Arial" w:hAnsi="Arial" w:cs="Arial"/>
          <w:sz w:val="24"/>
          <w:szCs w:val="24"/>
        </w:rPr>
        <w:t xml:space="preserve">Oxford </w:t>
      </w:r>
      <w:proofErr w:type="spellStart"/>
      <w:r w:rsidRPr="00AB02A6">
        <w:rPr>
          <w:rFonts w:ascii="Arial" w:hAnsi="Arial" w:cs="Arial"/>
          <w:sz w:val="24"/>
          <w:szCs w:val="24"/>
        </w:rPr>
        <w:t>University</w:t>
      </w:r>
      <w:proofErr w:type="spellEnd"/>
      <w:r w:rsidRPr="00AB02A6">
        <w:rPr>
          <w:rFonts w:ascii="Arial" w:hAnsi="Arial" w:cs="Arial"/>
          <w:sz w:val="24"/>
          <w:szCs w:val="24"/>
        </w:rPr>
        <w:t xml:space="preserve"> </w:t>
      </w:r>
      <w:proofErr w:type="spellStart"/>
      <w:r w:rsidRPr="00AB02A6">
        <w:rPr>
          <w:rFonts w:ascii="Arial" w:hAnsi="Arial" w:cs="Arial"/>
          <w:sz w:val="24"/>
          <w:szCs w:val="24"/>
        </w:rPr>
        <w:t>Press</w:t>
      </w:r>
      <w:proofErr w:type="spellEnd"/>
      <w:r w:rsidRPr="00AB02A6">
        <w:rPr>
          <w:rFonts w:ascii="Arial" w:hAnsi="Arial" w:cs="Arial"/>
          <w:sz w:val="24"/>
          <w:szCs w:val="24"/>
        </w:rPr>
        <w:t>.</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González, M. (2024). Psicología en Guatemala III: Interrogantes sobre la salud mental de los pueblos mayas.</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lang w:val="en-US"/>
        </w:rPr>
        <w:t xml:space="preserve">Hughes, J. L., et al. (2023). Suicide in young people: Screening, risk assessment, and intervention. </w:t>
      </w:r>
      <w:r w:rsidRPr="00AB02A6">
        <w:rPr>
          <w:rFonts w:ascii="Arial" w:hAnsi="Arial" w:cs="Arial"/>
          <w:sz w:val="24"/>
          <w:szCs w:val="24"/>
        </w:rPr>
        <w:t>BMJ, 381, e070630. https://doi.org/10.1136/bmj-2022-070630</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Levenson</w:t>
      </w:r>
      <w:proofErr w:type="spellEnd"/>
      <w:r w:rsidRPr="00AB02A6">
        <w:rPr>
          <w:rFonts w:ascii="Arial" w:hAnsi="Arial" w:cs="Arial"/>
          <w:sz w:val="24"/>
          <w:szCs w:val="24"/>
        </w:rPr>
        <w:t xml:space="preserve">, J. L. (Ed.). </w:t>
      </w:r>
      <w:r w:rsidRPr="00AB02A6">
        <w:rPr>
          <w:rFonts w:ascii="Arial" w:hAnsi="Arial" w:cs="Arial"/>
          <w:sz w:val="24"/>
          <w:szCs w:val="24"/>
          <w:lang w:val="en-US"/>
        </w:rPr>
        <w:t xml:space="preserve">(2020). Textbook of Psychosomatic Medicine and Consultation-Liaison Psychiatry (3rd ed.). </w:t>
      </w:r>
      <w:r w:rsidRPr="00AB02A6">
        <w:rPr>
          <w:rFonts w:ascii="Arial" w:hAnsi="Arial" w:cs="Arial"/>
          <w:sz w:val="24"/>
          <w:szCs w:val="24"/>
        </w:rPr>
        <w:t xml:space="preserve">American </w:t>
      </w:r>
      <w:proofErr w:type="spellStart"/>
      <w:r w:rsidRPr="00AB02A6">
        <w:rPr>
          <w:rFonts w:ascii="Arial" w:hAnsi="Arial" w:cs="Arial"/>
          <w:sz w:val="24"/>
          <w:szCs w:val="24"/>
        </w:rPr>
        <w:t>Psychiatric</w:t>
      </w:r>
      <w:proofErr w:type="spellEnd"/>
      <w:r w:rsidRPr="00AB02A6">
        <w:rPr>
          <w:rFonts w:ascii="Arial" w:hAnsi="Arial" w:cs="Arial"/>
          <w:sz w:val="24"/>
          <w:szCs w:val="24"/>
        </w:rPr>
        <w:t xml:space="preserve"> Publishing.</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 xml:space="preserve">Medina-Pérez, </w:t>
      </w:r>
      <w:proofErr w:type="spellStart"/>
      <w:r w:rsidRPr="00AB02A6">
        <w:rPr>
          <w:rFonts w:ascii="Arial" w:hAnsi="Arial" w:cs="Arial"/>
          <w:sz w:val="24"/>
          <w:szCs w:val="24"/>
        </w:rPr>
        <w:t>Ó</w:t>
      </w:r>
      <w:proofErr w:type="spellEnd"/>
      <w:r w:rsidRPr="00AB02A6">
        <w:rPr>
          <w:rFonts w:ascii="Arial" w:hAnsi="Arial" w:cs="Arial"/>
          <w:sz w:val="24"/>
          <w:szCs w:val="24"/>
        </w:rPr>
        <w:t>. A., Blandón-Cuesta, O. M., &amp; Barrera-Carvajal, V. (2021). Caracterización de adolescentes fallecidos por suicidio. Revista Cubana de Medicina Militar, 50(3).</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 xml:space="preserve">Méndez, E. C. (2018). Estados nacionales y víctimas sacrificiales: consideraciones sobre el genocidio maya </w:t>
      </w:r>
      <w:proofErr w:type="spellStart"/>
      <w:r w:rsidRPr="00AB02A6">
        <w:rPr>
          <w:rFonts w:ascii="Arial" w:hAnsi="Arial" w:cs="Arial"/>
          <w:sz w:val="24"/>
          <w:szCs w:val="24"/>
        </w:rPr>
        <w:t>Ixil</w:t>
      </w:r>
      <w:proofErr w:type="spellEnd"/>
      <w:r w:rsidRPr="00AB02A6">
        <w:rPr>
          <w:rFonts w:ascii="Arial" w:hAnsi="Arial" w:cs="Arial"/>
          <w:sz w:val="24"/>
          <w:szCs w:val="24"/>
        </w:rPr>
        <w:t xml:space="preserve"> en Guatemala. </w:t>
      </w:r>
      <w:proofErr w:type="spellStart"/>
      <w:r w:rsidRPr="00AB02A6">
        <w:rPr>
          <w:rFonts w:ascii="Arial" w:hAnsi="Arial" w:cs="Arial"/>
          <w:sz w:val="24"/>
          <w:szCs w:val="24"/>
        </w:rPr>
        <w:t>European</w:t>
      </w:r>
      <w:proofErr w:type="spellEnd"/>
      <w:r w:rsidRPr="00AB02A6">
        <w:rPr>
          <w:rFonts w:ascii="Arial" w:hAnsi="Arial" w:cs="Arial"/>
          <w:sz w:val="24"/>
          <w:szCs w:val="24"/>
        </w:rPr>
        <w:t xml:space="preserve"> </w:t>
      </w:r>
      <w:proofErr w:type="spellStart"/>
      <w:r w:rsidRPr="00AB02A6">
        <w:rPr>
          <w:rFonts w:ascii="Arial" w:hAnsi="Arial" w:cs="Arial"/>
          <w:sz w:val="24"/>
          <w:szCs w:val="24"/>
        </w:rPr>
        <w:t>Scientific</w:t>
      </w:r>
      <w:proofErr w:type="spellEnd"/>
      <w:r w:rsidRPr="00AB02A6">
        <w:rPr>
          <w:rFonts w:ascii="Arial" w:hAnsi="Arial" w:cs="Arial"/>
          <w:sz w:val="24"/>
          <w:szCs w:val="24"/>
        </w:rPr>
        <w:t xml:space="preserve"> </w:t>
      </w:r>
      <w:proofErr w:type="spellStart"/>
      <w:r w:rsidRPr="00AB02A6">
        <w:rPr>
          <w:rFonts w:ascii="Arial" w:hAnsi="Arial" w:cs="Arial"/>
          <w:sz w:val="24"/>
          <w:szCs w:val="24"/>
        </w:rPr>
        <w:t>Journal</w:t>
      </w:r>
      <w:proofErr w:type="spellEnd"/>
      <w:r w:rsidRPr="00AB02A6">
        <w:rPr>
          <w:rFonts w:ascii="Arial" w:hAnsi="Arial" w:cs="Arial"/>
          <w:sz w:val="24"/>
          <w:szCs w:val="24"/>
        </w:rPr>
        <w:t>, 14(20).</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Organización Panamericana de la Salud. (2025). Fortalecimiento de la atención primaria en salud en Guatemala.</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Organización Panamericana de la Salud. (2025). Prevención del suicidio. https://www.paho.org/es/temas/prevencion-del-suicidio</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Oxlaj</w:t>
      </w:r>
      <w:proofErr w:type="spellEnd"/>
      <w:r w:rsidRPr="00AB02A6">
        <w:rPr>
          <w:rFonts w:ascii="Arial" w:hAnsi="Arial" w:cs="Arial"/>
          <w:sz w:val="24"/>
          <w:szCs w:val="24"/>
        </w:rPr>
        <w:t xml:space="preserve"> Larios, A. M. (2023). Factores de vulnerabilidad en el riesgo de suicidio [Tesis]. Universidad de San Carlos de Guatemala.</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 xml:space="preserve">Pérez de </w:t>
      </w:r>
      <w:proofErr w:type="spellStart"/>
      <w:r w:rsidRPr="00AB02A6">
        <w:rPr>
          <w:rFonts w:ascii="Arial" w:hAnsi="Arial" w:cs="Arial"/>
          <w:sz w:val="24"/>
          <w:szCs w:val="24"/>
        </w:rPr>
        <w:t>Albéniz</w:t>
      </w:r>
      <w:proofErr w:type="spellEnd"/>
      <w:r w:rsidRPr="00AB02A6">
        <w:rPr>
          <w:rFonts w:ascii="Arial" w:hAnsi="Arial" w:cs="Arial"/>
          <w:sz w:val="24"/>
          <w:szCs w:val="24"/>
        </w:rPr>
        <w:t>, A., &amp; Fonseca-Pedrero, E. (2020). Evaluación de la conducta suicida en adolescentes. Papeles del Psicólogo, 41(1). https://doi.org/10.23923/pap.psicol.2020.2928</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 xml:space="preserve">Rangel </w:t>
      </w:r>
      <w:proofErr w:type="spellStart"/>
      <w:r w:rsidRPr="00AB02A6">
        <w:rPr>
          <w:rFonts w:ascii="Arial" w:hAnsi="Arial" w:cs="Arial"/>
          <w:sz w:val="24"/>
          <w:szCs w:val="24"/>
        </w:rPr>
        <w:t>Villafaña</w:t>
      </w:r>
      <w:proofErr w:type="spellEnd"/>
      <w:r w:rsidRPr="00AB02A6">
        <w:rPr>
          <w:rFonts w:ascii="Arial" w:hAnsi="Arial" w:cs="Arial"/>
          <w:sz w:val="24"/>
          <w:szCs w:val="24"/>
        </w:rPr>
        <w:t>, J. N., &amp; Jurado Cárdenas, S. (2021). Definición de suicidio y de los pensamientos y conductas relacionadas con el mismo. Psicología y Salud, 32(1), 39–48.</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Robles, M. (2021). Suicidios en Guatemala, 1986–2019. Diálogos.</w:t>
      </w:r>
    </w:p>
    <w:p w:rsidR="00AB02A6" w:rsidRPr="00AB02A6"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lastRenderedPageBreak/>
        <w:t>Saab</w:t>
      </w:r>
      <w:proofErr w:type="spellEnd"/>
      <w:r w:rsidRPr="00AB02A6">
        <w:rPr>
          <w:rFonts w:ascii="Arial" w:hAnsi="Arial" w:cs="Arial"/>
          <w:sz w:val="24"/>
          <w:szCs w:val="24"/>
        </w:rPr>
        <w:t xml:space="preserve">, M. M., et al. </w:t>
      </w:r>
      <w:r w:rsidRPr="00AB02A6">
        <w:rPr>
          <w:rFonts w:ascii="Arial" w:hAnsi="Arial" w:cs="Arial"/>
          <w:sz w:val="24"/>
          <w:szCs w:val="24"/>
          <w:lang w:val="en-US"/>
        </w:rPr>
        <w:t xml:space="preserve">(2022). Suicide and self-harm risk assessment. </w:t>
      </w:r>
      <w:r w:rsidRPr="00AB02A6">
        <w:rPr>
          <w:rFonts w:ascii="Arial" w:hAnsi="Arial" w:cs="Arial"/>
          <w:sz w:val="24"/>
          <w:szCs w:val="24"/>
        </w:rPr>
        <w:t xml:space="preserve">Archives of Suicide </w:t>
      </w:r>
      <w:proofErr w:type="spellStart"/>
      <w:r w:rsidRPr="00AB02A6">
        <w:rPr>
          <w:rFonts w:ascii="Arial" w:hAnsi="Arial" w:cs="Arial"/>
          <w:sz w:val="24"/>
          <w:szCs w:val="24"/>
        </w:rPr>
        <w:t>Research</w:t>
      </w:r>
      <w:proofErr w:type="spellEnd"/>
      <w:r w:rsidRPr="00AB02A6">
        <w:rPr>
          <w:rFonts w:ascii="Arial" w:hAnsi="Arial" w:cs="Arial"/>
          <w:sz w:val="24"/>
          <w:szCs w:val="24"/>
        </w:rPr>
        <w:t>, 26(4), 1645–1665.</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Saavedra, J. (Ed.). (2021). Estigma público en salud mental.</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Secretaría de Planificación y Programación de la Presidencia. (2025). Prioridades nacionales de desarrollo.</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Souza, M., Machorro, M., &amp; Cruz Moreno, D. L. (2024). Suicidio: epidemiología, clínica, manejo y prevención. Neurología, Neurocirugía y Psiquiatría, 52(1), 11–20.</w:t>
      </w:r>
    </w:p>
    <w:p w:rsidR="00AB02A6" w:rsidRPr="00AB02A6" w:rsidRDefault="00AB02A6" w:rsidP="00AB02A6">
      <w:pPr>
        <w:spacing w:line="360" w:lineRule="auto"/>
        <w:jc w:val="both"/>
        <w:rPr>
          <w:rFonts w:ascii="Arial" w:hAnsi="Arial" w:cs="Arial"/>
          <w:sz w:val="24"/>
          <w:szCs w:val="24"/>
        </w:rPr>
      </w:pPr>
      <w:proofErr w:type="spellStart"/>
      <w:r w:rsidRPr="00EB5E5C">
        <w:rPr>
          <w:rFonts w:ascii="Arial" w:hAnsi="Arial" w:cs="Arial"/>
          <w:sz w:val="24"/>
          <w:szCs w:val="24"/>
        </w:rPr>
        <w:t>Stack</w:t>
      </w:r>
      <w:proofErr w:type="spellEnd"/>
      <w:r w:rsidRPr="00EB5E5C">
        <w:rPr>
          <w:rFonts w:ascii="Arial" w:hAnsi="Arial" w:cs="Arial"/>
          <w:sz w:val="24"/>
          <w:szCs w:val="24"/>
        </w:rPr>
        <w:t xml:space="preserve">, S. (2021). </w:t>
      </w:r>
      <w:proofErr w:type="spellStart"/>
      <w:r w:rsidRPr="00EB5E5C">
        <w:rPr>
          <w:rFonts w:ascii="Arial" w:hAnsi="Arial" w:cs="Arial"/>
          <w:sz w:val="24"/>
          <w:szCs w:val="24"/>
        </w:rPr>
        <w:t>Contributing</w:t>
      </w:r>
      <w:proofErr w:type="spellEnd"/>
      <w:r w:rsidRPr="00EB5E5C">
        <w:rPr>
          <w:rFonts w:ascii="Arial" w:hAnsi="Arial" w:cs="Arial"/>
          <w:sz w:val="24"/>
          <w:szCs w:val="24"/>
        </w:rPr>
        <w:t xml:space="preserve"> </w:t>
      </w:r>
      <w:proofErr w:type="spellStart"/>
      <w:r w:rsidRPr="00EB5E5C">
        <w:rPr>
          <w:rFonts w:ascii="Arial" w:hAnsi="Arial" w:cs="Arial"/>
          <w:sz w:val="24"/>
          <w:szCs w:val="24"/>
        </w:rPr>
        <w:t>factors</w:t>
      </w:r>
      <w:proofErr w:type="spellEnd"/>
      <w:r w:rsidRPr="00EB5E5C">
        <w:rPr>
          <w:rFonts w:ascii="Arial" w:hAnsi="Arial" w:cs="Arial"/>
          <w:sz w:val="24"/>
          <w:szCs w:val="24"/>
        </w:rPr>
        <w:t xml:space="preserve"> to suicide: </w:t>
      </w:r>
      <w:proofErr w:type="spellStart"/>
      <w:r w:rsidRPr="00EB5E5C">
        <w:rPr>
          <w:rFonts w:ascii="Arial" w:hAnsi="Arial" w:cs="Arial"/>
          <w:sz w:val="24"/>
          <w:szCs w:val="24"/>
        </w:rPr>
        <w:t>Political</w:t>
      </w:r>
      <w:proofErr w:type="spellEnd"/>
      <w:r w:rsidRPr="00EB5E5C">
        <w:rPr>
          <w:rFonts w:ascii="Arial" w:hAnsi="Arial" w:cs="Arial"/>
          <w:sz w:val="24"/>
          <w:szCs w:val="24"/>
        </w:rPr>
        <w:t xml:space="preserve">, social, cultural and </w:t>
      </w:r>
      <w:proofErr w:type="spellStart"/>
      <w:r w:rsidRPr="00EB5E5C">
        <w:rPr>
          <w:rFonts w:ascii="Arial" w:hAnsi="Arial" w:cs="Arial"/>
          <w:sz w:val="24"/>
          <w:szCs w:val="24"/>
        </w:rPr>
        <w:t>economic</w:t>
      </w:r>
      <w:proofErr w:type="spellEnd"/>
      <w:r w:rsidRPr="00EB5E5C">
        <w:rPr>
          <w:rFonts w:ascii="Arial" w:hAnsi="Arial" w:cs="Arial"/>
          <w:sz w:val="24"/>
          <w:szCs w:val="24"/>
        </w:rPr>
        <w:t xml:space="preserve">. </w:t>
      </w:r>
      <w:proofErr w:type="spellStart"/>
      <w:r w:rsidRPr="00AB02A6">
        <w:rPr>
          <w:rFonts w:ascii="Arial" w:hAnsi="Arial" w:cs="Arial"/>
          <w:sz w:val="24"/>
          <w:szCs w:val="24"/>
        </w:rPr>
        <w:t>Preventive</w:t>
      </w:r>
      <w:proofErr w:type="spellEnd"/>
      <w:r w:rsidRPr="00AB02A6">
        <w:rPr>
          <w:rFonts w:ascii="Arial" w:hAnsi="Arial" w:cs="Arial"/>
          <w:sz w:val="24"/>
          <w:szCs w:val="24"/>
        </w:rPr>
        <w:t xml:space="preserve"> Medicine, 152, 106498.</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Suárez, Y. (2022). Estrategia para la prevención del suicidio. Revista Escuela de Ciencias de la Salud.</w:t>
      </w:r>
    </w:p>
    <w:p w:rsidR="00AB02A6" w:rsidRPr="00AB02A6" w:rsidRDefault="00AB02A6" w:rsidP="00AB02A6">
      <w:pPr>
        <w:spacing w:line="360" w:lineRule="auto"/>
        <w:jc w:val="both"/>
        <w:rPr>
          <w:rFonts w:ascii="Arial" w:hAnsi="Arial" w:cs="Arial"/>
          <w:sz w:val="24"/>
          <w:szCs w:val="24"/>
        </w:rPr>
      </w:pPr>
      <w:r w:rsidRPr="00AB02A6">
        <w:rPr>
          <w:rFonts w:ascii="Arial" w:hAnsi="Arial" w:cs="Arial"/>
          <w:sz w:val="24"/>
          <w:szCs w:val="24"/>
        </w:rPr>
        <w:t>UNICEF Guatemala. (2025). La salud mental en Guatemala: Un grito de ayuda que no podemos ignorar.</w:t>
      </w:r>
    </w:p>
    <w:p w:rsidR="00AB02A6" w:rsidRPr="00AB02A6" w:rsidRDefault="00AB02A6" w:rsidP="00AB02A6">
      <w:pPr>
        <w:spacing w:line="360" w:lineRule="auto"/>
        <w:jc w:val="both"/>
        <w:rPr>
          <w:rFonts w:ascii="Arial" w:hAnsi="Arial" w:cs="Arial"/>
          <w:sz w:val="24"/>
          <w:szCs w:val="24"/>
          <w:lang w:val="en-US"/>
        </w:rPr>
      </w:pPr>
      <w:r w:rsidRPr="00AB02A6">
        <w:rPr>
          <w:rFonts w:ascii="Arial" w:hAnsi="Arial" w:cs="Arial"/>
          <w:sz w:val="24"/>
          <w:szCs w:val="24"/>
          <w:lang w:val="en-US"/>
        </w:rPr>
        <w:t>World Health Organization. (2021). Suicide worldwide in the 21st century: Global health estimates.</w:t>
      </w:r>
    </w:p>
    <w:p w:rsidR="00AB02A6" w:rsidRPr="00AB02A6" w:rsidRDefault="00AB02A6" w:rsidP="00AB02A6">
      <w:pPr>
        <w:spacing w:line="360" w:lineRule="auto"/>
        <w:jc w:val="both"/>
        <w:rPr>
          <w:rFonts w:ascii="Arial" w:hAnsi="Arial" w:cs="Arial"/>
          <w:sz w:val="24"/>
          <w:szCs w:val="24"/>
          <w:lang w:val="en-US"/>
        </w:rPr>
      </w:pPr>
      <w:r w:rsidRPr="00AB02A6">
        <w:rPr>
          <w:rFonts w:ascii="Arial" w:hAnsi="Arial" w:cs="Arial"/>
          <w:sz w:val="24"/>
          <w:szCs w:val="24"/>
          <w:lang w:val="en-US"/>
        </w:rPr>
        <w:t>World Health Organization. (2021, June 17). One in 100 deaths is by suicide.</w:t>
      </w:r>
    </w:p>
    <w:p w:rsidR="00AB02A6" w:rsidRPr="00AB02A6" w:rsidRDefault="00AB02A6" w:rsidP="00AB02A6">
      <w:pPr>
        <w:spacing w:line="360" w:lineRule="auto"/>
        <w:jc w:val="both"/>
        <w:rPr>
          <w:rFonts w:ascii="Arial" w:hAnsi="Arial" w:cs="Arial"/>
          <w:sz w:val="24"/>
          <w:szCs w:val="24"/>
          <w:lang w:val="en-US"/>
        </w:rPr>
      </w:pPr>
      <w:r w:rsidRPr="00AB02A6">
        <w:rPr>
          <w:rFonts w:ascii="Arial" w:hAnsi="Arial" w:cs="Arial"/>
          <w:sz w:val="24"/>
          <w:szCs w:val="24"/>
          <w:lang w:val="en-US"/>
        </w:rPr>
        <w:t>World Health Organization. (2025). Mental health: Strengthening our response.</w:t>
      </w:r>
    </w:p>
    <w:p w:rsidR="00A96E4A" w:rsidRPr="00A96E4A" w:rsidRDefault="00AB02A6" w:rsidP="00AB02A6">
      <w:pPr>
        <w:spacing w:line="360" w:lineRule="auto"/>
        <w:jc w:val="both"/>
        <w:rPr>
          <w:rFonts w:ascii="Arial" w:hAnsi="Arial" w:cs="Arial"/>
          <w:sz w:val="24"/>
          <w:szCs w:val="24"/>
        </w:rPr>
      </w:pPr>
      <w:proofErr w:type="spellStart"/>
      <w:r w:rsidRPr="00AB02A6">
        <w:rPr>
          <w:rFonts w:ascii="Arial" w:hAnsi="Arial" w:cs="Arial"/>
          <w:sz w:val="24"/>
          <w:szCs w:val="24"/>
        </w:rPr>
        <w:t>World</w:t>
      </w:r>
      <w:proofErr w:type="spellEnd"/>
      <w:r w:rsidRPr="00AB02A6">
        <w:rPr>
          <w:rFonts w:ascii="Arial" w:hAnsi="Arial" w:cs="Arial"/>
          <w:sz w:val="24"/>
          <w:szCs w:val="24"/>
        </w:rPr>
        <w:t xml:space="preserve"> </w:t>
      </w:r>
      <w:proofErr w:type="spellStart"/>
      <w:r w:rsidRPr="00AB02A6">
        <w:rPr>
          <w:rFonts w:ascii="Arial" w:hAnsi="Arial" w:cs="Arial"/>
          <w:sz w:val="24"/>
          <w:szCs w:val="24"/>
        </w:rPr>
        <w:t>Health</w:t>
      </w:r>
      <w:proofErr w:type="spellEnd"/>
      <w:r w:rsidRPr="00AB02A6">
        <w:rPr>
          <w:rFonts w:ascii="Arial" w:hAnsi="Arial" w:cs="Arial"/>
          <w:sz w:val="24"/>
          <w:szCs w:val="24"/>
        </w:rPr>
        <w:t xml:space="preserve"> </w:t>
      </w:r>
      <w:proofErr w:type="spellStart"/>
      <w:r w:rsidRPr="00AB02A6">
        <w:rPr>
          <w:rFonts w:ascii="Arial" w:hAnsi="Arial" w:cs="Arial"/>
          <w:sz w:val="24"/>
          <w:szCs w:val="24"/>
        </w:rPr>
        <w:t>Organization</w:t>
      </w:r>
      <w:proofErr w:type="spellEnd"/>
      <w:r w:rsidRPr="00AB02A6">
        <w:rPr>
          <w:rFonts w:ascii="Arial" w:hAnsi="Arial" w:cs="Arial"/>
          <w:sz w:val="24"/>
          <w:szCs w:val="24"/>
        </w:rPr>
        <w:t>. (2025). Suicide.</w:t>
      </w:r>
    </w:p>
    <w:sectPr w:rsidR="00A96E4A" w:rsidRPr="00A96E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645AE"/>
    <w:multiLevelType w:val="hybridMultilevel"/>
    <w:tmpl w:val="C99CE0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2607162E"/>
    <w:multiLevelType w:val="hybridMultilevel"/>
    <w:tmpl w:val="1020F9B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3B740380"/>
    <w:multiLevelType w:val="hybridMultilevel"/>
    <w:tmpl w:val="9822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927140"/>
    <w:multiLevelType w:val="hybridMultilevel"/>
    <w:tmpl w:val="061EF5B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7B734E75"/>
    <w:multiLevelType w:val="hybridMultilevel"/>
    <w:tmpl w:val="2FDC7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6F"/>
    <w:rsid w:val="00036B82"/>
    <w:rsid w:val="001405DD"/>
    <w:rsid w:val="00143EB0"/>
    <w:rsid w:val="00373B54"/>
    <w:rsid w:val="004378CE"/>
    <w:rsid w:val="00612F01"/>
    <w:rsid w:val="0063022F"/>
    <w:rsid w:val="007D3FFB"/>
    <w:rsid w:val="008E7ED8"/>
    <w:rsid w:val="008F338E"/>
    <w:rsid w:val="009B1D8F"/>
    <w:rsid w:val="00A96E4A"/>
    <w:rsid w:val="00AB02A6"/>
    <w:rsid w:val="00B27D1E"/>
    <w:rsid w:val="00BE196F"/>
    <w:rsid w:val="00CE02C3"/>
    <w:rsid w:val="00D112CB"/>
    <w:rsid w:val="00EB5766"/>
    <w:rsid w:val="00EB5E5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08D1"/>
  <w15:chartTrackingRefBased/>
  <w15:docId w15:val="{23EA5888-2DB5-4BE6-9159-8D42880D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5E5C"/>
    <w:pPr>
      <w:ind w:left="720"/>
      <w:contextualSpacing/>
    </w:pPr>
  </w:style>
  <w:style w:type="table" w:styleId="Tablaconcuadrcula">
    <w:name w:val="Table Grid"/>
    <w:basedOn w:val="Tablanormal"/>
    <w:uiPriority w:val="39"/>
    <w:rsid w:val="00373B54"/>
    <w:pPr>
      <w:widowControl w:val="0"/>
      <w:spacing w:after="0" w:line="240" w:lineRule="auto"/>
    </w:pPr>
    <w:rPr>
      <w:rFonts w:ascii="Arial" w:eastAsia="Arial" w:hAnsi="Arial" w:cs="Arial"/>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5">
    <w:name w:val="Grid Table 6 Colorful Accent 5"/>
    <w:basedOn w:val="Tablanormal"/>
    <w:uiPriority w:val="51"/>
    <w:rsid w:val="00036B82"/>
    <w:pPr>
      <w:spacing w:after="0" w:line="240" w:lineRule="auto"/>
    </w:pPr>
    <w:rPr>
      <w:color w:val="2F5496" w:themeColor="accent5" w:themeShade="BF"/>
      <w:kern w:val="2"/>
      <w:lang w:val="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Textoennegrita">
    <w:name w:val="Strong"/>
    <w:basedOn w:val="Fuentedeprrafopredeter"/>
    <w:uiPriority w:val="22"/>
    <w:qFormat/>
    <w:rsid w:val="006302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317211">
      <w:bodyDiv w:val="1"/>
      <w:marLeft w:val="0"/>
      <w:marRight w:val="0"/>
      <w:marTop w:val="0"/>
      <w:marBottom w:val="0"/>
      <w:divBdr>
        <w:top w:val="none" w:sz="0" w:space="0" w:color="auto"/>
        <w:left w:val="none" w:sz="0" w:space="0" w:color="auto"/>
        <w:bottom w:val="none" w:sz="0" w:space="0" w:color="auto"/>
        <w:right w:val="none" w:sz="0" w:space="0" w:color="auto"/>
      </w:divBdr>
    </w:div>
    <w:div w:id="1848594194">
      <w:bodyDiv w:val="1"/>
      <w:marLeft w:val="0"/>
      <w:marRight w:val="0"/>
      <w:marTop w:val="0"/>
      <w:marBottom w:val="0"/>
      <w:divBdr>
        <w:top w:val="none" w:sz="0" w:space="0" w:color="auto"/>
        <w:left w:val="none" w:sz="0" w:space="0" w:color="auto"/>
        <w:bottom w:val="none" w:sz="0" w:space="0" w:color="auto"/>
        <w:right w:val="none" w:sz="0" w:space="0" w:color="auto"/>
      </w:divBdr>
    </w:div>
    <w:div w:id="19271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Hoja1!$B$1</c:f>
              <c:strCache>
                <c:ptCount val="1"/>
                <c:pt idx="0">
                  <c:v>Suicidios consumados, total: 304</c:v>
                </c:pt>
              </c:strCache>
            </c:strRef>
          </c:tx>
          <c:spPr>
            <a:ln w="38100" cap="flat" cmpd="dbl" algn="ctr">
              <a:solidFill>
                <a:schemeClr val="accent6"/>
              </a:solidFill>
              <a:miter lim="800000"/>
            </a:ln>
            <a:effectLst/>
          </c:spPr>
          <c:marker>
            <c:symbol val="none"/>
          </c:marker>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numRef>
              <c:f>Hoja1!$A$2:$A$13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Hoja1!$B$2:$B$13</c:f>
              <c:numCache>
                <c:formatCode>General</c:formatCode>
                <c:ptCount val="12"/>
                <c:pt idx="0">
                  <c:v>31</c:v>
                </c:pt>
                <c:pt idx="1">
                  <c:v>18</c:v>
                </c:pt>
                <c:pt idx="2">
                  <c:v>21</c:v>
                </c:pt>
                <c:pt idx="3">
                  <c:v>22</c:v>
                </c:pt>
                <c:pt idx="4">
                  <c:v>32</c:v>
                </c:pt>
                <c:pt idx="5">
                  <c:v>28</c:v>
                </c:pt>
                <c:pt idx="6">
                  <c:v>24</c:v>
                </c:pt>
                <c:pt idx="7">
                  <c:v>27</c:v>
                </c:pt>
                <c:pt idx="8">
                  <c:v>31</c:v>
                </c:pt>
                <c:pt idx="9">
                  <c:v>23</c:v>
                </c:pt>
                <c:pt idx="10">
                  <c:v>28</c:v>
                </c:pt>
                <c:pt idx="11">
                  <c:v>19</c:v>
                </c:pt>
              </c:numCache>
            </c:numRef>
          </c:val>
          <c:smooth val="0"/>
          <c:extLst>
            <c:ext xmlns:c16="http://schemas.microsoft.com/office/drawing/2014/chart" uri="{C3380CC4-5D6E-409C-BE32-E72D297353CC}">
              <c16:uniqueId val="{00000000-29EF-48CC-8D40-E4AAB6271ED4}"/>
            </c:ext>
          </c:extLst>
        </c:ser>
        <c:ser>
          <c:idx val="1"/>
          <c:order val="1"/>
          <c:tx>
            <c:strRef>
              <c:f>Hoja1!$C$1</c:f>
              <c:strCache>
                <c:ptCount val="1"/>
                <c:pt idx="0">
                  <c:v>Intentos de suicidio, total: 587</c:v>
                </c:pt>
              </c:strCache>
            </c:strRef>
          </c:tx>
          <c:spPr>
            <a:ln w="38100" cap="flat" cmpd="dbl" algn="ctr">
              <a:solidFill>
                <a:schemeClr val="accent5"/>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Hoja1!$C$2:$C$13</c:f>
              <c:numCache>
                <c:formatCode>General</c:formatCode>
                <c:ptCount val="12"/>
                <c:pt idx="0">
                  <c:v>23</c:v>
                </c:pt>
                <c:pt idx="1">
                  <c:v>35</c:v>
                </c:pt>
                <c:pt idx="2">
                  <c:v>26</c:v>
                </c:pt>
                <c:pt idx="3">
                  <c:v>60</c:v>
                </c:pt>
                <c:pt idx="4">
                  <c:v>63</c:v>
                </c:pt>
                <c:pt idx="5">
                  <c:v>52</c:v>
                </c:pt>
                <c:pt idx="6">
                  <c:v>54</c:v>
                </c:pt>
                <c:pt idx="7">
                  <c:v>51</c:v>
                </c:pt>
                <c:pt idx="8">
                  <c:v>20</c:v>
                </c:pt>
                <c:pt idx="9">
                  <c:v>41</c:v>
                </c:pt>
                <c:pt idx="10">
                  <c:v>76</c:v>
                </c:pt>
                <c:pt idx="11">
                  <c:v>86</c:v>
                </c:pt>
              </c:numCache>
            </c:numRef>
          </c:val>
          <c:smooth val="0"/>
          <c:extLst>
            <c:ext xmlns:c16="http://schemas.microsoft.com/office/drawing/2014/chart" uri="{C3380CC4-5D6E-409C-BE32-E72D297353CC}">
              <c16:uniqueId val="{00000001-29EF-48CC-8D40-E4AAB6271ED4}"/>
            </c:ext>
          </c:extLst>
        </c:ser>
        <c:ser>
          <c:idx val="2"/>
          <c:order val="2"/>
          <c:tx>
            <c:strRef>
              <c:f>Hoja1!$D$1</c:f>
              <c:strCache>
                <c:ptCount val="1"/>
                <c:pt idx="0">
                  <c:v>Total: 891</c:v>
                </c:pt>
              </c:strCache>
            </c:strRef>
          </c:tx>
          <c:spPr>
            <a:ln w="38100" cap="flat" cmpd="dbl" algn="ctr">
              <a:solidFill>
                <a:schemeClr val="accent4"/>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Hoja1!$D$2:$D$13</c:f>
              <c:numCache>
                <c:formatCode>General</c:formatCode>
                <c:ptCount val="12"/>
                <c:pt idx="0">
                  <c:v>54</c:v>
                </c:pt>
                <c:pt idx="1">
                  <c:v>53</c:v>
                </c:pt>
                <c:pt idx="2">
                  <c:v>47</c:v>
                </c:pt>
                <c:pt idx="3">
                  <c:v>82</c:v>
                </c:pt>
                <c:pt idx="4">
                  <c:v>95</c:v>
                </c:pt>
                <c:pt idx="5">
                  <c:v>80</c:v>
                </c:pt>
                <c:pt idx="6">
                  <c:v>78</c:v>
                </c:pt>
                <c:pt idx="7">
                  <c:v>78</c:v>
                </c:pt>
                <c:pt idx="8">
                  <c:v>51</c:v>
                </c:pt>
                <c:pt idx="9">
                  <c:v>64</c:v>
                </c:pt>
                <c:pt idx="10">
                  <c:v>104</c:v>
                </c:pt>
                <c:pt idx="11">
                  <c:v>105</c:v>
                </c:pt>
              </c:numCache>
            </c:numRef>
          </c:val>
          <c:smooth val="0"/>
          <c:extLst>
            <c:ext xmlns:c16="http://schemas.microsoft.com/office/drawing/2014/chart" uri="{C3380CC4-5D6E-409C-BE32-E72D297353CC}">
              <c16:uniqueId val="{00000002-29EF-48CC-8D40-E4AAB6271ED4}"/>
            </c:ext>
          </c:extLst>
        </c:ser>
        <c:dLbls>
          <c:showLegendKey val="0"/>
          <c:showVal val="0"/>
          <c:showCatName val="0"/>
          <c:showSerName val="0"/>
          <c:showPercent val="0"/>
          <c:showBubbleSize val="0"/>
        </c:dLbls>
        <c:smooth val="0"/>
        <c:axId val="526192472"/>
        <c:axId val="526202968"/>
      </c:lineChart>
      <c:catAx>
        <c:axId val="526192472"/>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26202968"/>
        <c:crosses val="autoZero"/>
        <c:auto val="1"/>
        <c:lblAlgn val="ctr"/>
        <c:lblOffset val="100"/>
        <c:noMultiLvlLbl val="0"/>
      </c:catAx>
      <c:valAx>
        <c:axId val="526202968"/>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526192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23</Pages>
  <Words>5565</Words>
  <Characters>30613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CATARINA</dc:creator>
  <cp:keywords/>
  <dc:description/>
  <cp:lastModifiedBy>HP CATARINA</cp:lastModifiedBy>
  <cp:revision>8</cp:revision>
  <dcterms:created xsi:type="dcterms:W3CDTF">2026-07-08T18:32:00Z</dcterms:created>
  <dcterms:modified xsi:type="dcterms:W3CDTF">2026-07-13T23:46:00Z</dcterms:modified>
</cp:coreProperties>
</file>